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31" w:rsidRPr="00535A50" w:rsidRDefault="00BD6B31" w:rsidP="00BD6B31">
      <w:pPr>
        <w:jc w:val="center"/>
        <w:rPr>
          <w:rStyle w:val="Strong"/>
          <w:rFonts w:ascii="Times New Roman" w:hAnsi="Times New Roman" w:cs="Times New Roman"/>
          <w:bCs w:val="0"/>
          <w:sz w:val="24"/>
          <w:szCs w:val="24"/>
          <w:shd w:val="clear" w:color="auto" w:fill="FFFFFF"/>
        </w:rPr>
      </w:pPr>
      <w:r w:rsidRPr="00535A50">
        <w:rPr>
          <w:rStyle w:val="Strong"/>
          <w:rFonts w:ascii="Times New Roman" w:hAnsi="Times New Roman" w:cs="Times New Roman"/>
          <w:bCs w:val="0"/>
          <w:sz w:val="24"/>
          <w:szCs w:val="24"/>
          <w:shd w:val="clear" w:color="auto" w:fill="FFFFFF"/>
        </w:rPr>
        <w:t>CERTIFICATE IN RISK IN FINANCIAL SERVICES</w:t>
      </w:r>
    </w:p>
    <w:tbl>
      <w:tblPr>
        <w:tblStyle w:val="TableGrid"/>
        <w:tblW w:w="0" w:type="auto"/>
        <w:tblLook w:val="04A0" w:firstRow="1" w:lastRow="0" w:firstColumn="1" w:lastColumn="0" w:noHBand="0" w:noVBand="1"/>
      </w:tblPr>
      <w:tblGrid>
        <w:gridCol w:w="988"/>
        <w:gridCol w:w="8028"/>
      </w:tblGrid>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eastAsia="Times New Roman" w:hAnsi="Times New Roman" w:cs="Times New Roman"/>
                <w:b/>
                <w:bCs/>
                <w:sz w:val="24"/>
                <w:szCs w:val="24"/>
                <w:lang w:eastAsia="en-IN"/>
              </w:rPr>
              <w:t>Sr. No.</w:t>
            </w:r>
          </w:p>
        </w:tc>
        <w:tc>
          <w:tcPr>
            <w:tcW w:w="8028" w:type="dxa"/>
          </w:tcPr>
          <w:p w:rsidR="00BD6B31" w:rsidRPr="00535A50" w:rsidRDefault="00BD6B31" w:rsidP="00F32BCF">
            <w:pPr>
              <w:rPr>
                <w:rFonts w:ascii="Times New Roman" w:hAnsi="Times New Roman" w:cs="Times New Roman"/>
                <w:sz w:val="24"/>
                <w:szCs w:val="24"/>
              </w:rPr>
            </w:pPr>
            <w:r w:rsidRPr="00535A50">
              <w:rPr>
                <w:rFonts w:ascii="Times New Roman" w:eastAsia="Times New Roman" w:hAnsi="Times New Roman" w:cs="Times New Roman"/>
                <w:b/>
                <w:bCs/>
                <w:sz w:val="24"/>
                <w:szCs w:val="24"/>
                <w:lang w:eastAsia="en-IN"/>
              </w:rPr>
              <w:t>Important Notifications</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1</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 xml:space="preserve">Master Direction – Reserve Bank of India (Commercial Paper and Non-Convertible Debentures of original or initial maturity </w:t>
            </w:r>
            <w:proofErr w:type="spellStart"/>
            <w:r w:rsidRPr="00535A50">
              <w:rPr>
                <w:rFonts w:ascii="Times New Roman" w:hAnsi="Times New Roman" w:cs="Times New Roman"/>
                <w:sz w:val="24"/>
                <w:szCs w:val="24"/>
              </w:rPr>
              <w:t>upto</w:t>
            </w:r>
            <w:proofErr w:type="spellEnd"/>
            <w:r w:rsidRPr="00535A50">
              <w:rPr>
                <w:rFonts w:ascii="Times New Roman" w:hAnsi="Times New Roman" w:cs="Times New Roman"/>
                <w:sz w:val="24"/>
                <w:szCs w:val="24"/>
              </w:rPr>
              <w:t xml:space="preserve"> one year) Directions, 2024</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2</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Risk Management and Inter-Bank Dealings – Hedging of foreign exchange risk</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3</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Master Circular- Exposure Norms and Statutory / Other Restrictions - UCBs</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4</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Capital Adequacy Guidelines – Review of Trading Book</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5</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Investments in Alternative Investment Funds (AIFs)</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6</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Master Circular – Basel III Capital Regulations</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7</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Master Circular - Prudential norms on Income Recognition, Asset Classification and Provisioning pertaining to Advances</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8</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Hedging of Gold Price Risk in Overseas Markets</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9</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Guidance Note on Operational Risk Management and Operational Resilience</w:t>
            </w:r>
          </w:p>
        </w:tc>
      </w:tr>
      <w:tr w:rsidR="00535A50" w:rsidRPr="00535A50" w:rsidTr="00F32BCF">
        <w:tc>
          <w:tcPr>
            <w:tcW w:w="988" w:type="dxa"/>
          </w:tcPr>
          <w:p w:rsidR="00BD6B31" w:rsidRPr="00535A50" w:rsidRDefault="00BD6B31" w:rsidP="00F32BCF">
            <w:pPr>
              <w:rPr>
                <w:rFonts w:ascii="Times New Roman" w:hAnsi="Times New Roman" w:cs="Times New Roman"/>
                <w:sz w:val="24"/>
                <w:szCs w:val="24"/>
              </w:rPr>
            </w:pPr>
            <w:r w:rsidRPr="00535A50">
              <w:rPr>
                <w:rFonts w:ascii="Times New Roman" w:hAnsi="Times New Roman" w:cs="Times New Roman"/>
                <w:sz w:val="24"/>
                <w:szCs w:val="24"/>
              </w:rPr>
              <w:t>10</w:t>
            </w:r>
          </w:p>
        </w:tc>
        <w:tc>
          <w:tcPr>
            <w:tcW w:w="8028" w:type="dxa"/>
          </w:tcPr>
          <w:p w:rsidR="00BD6B31"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Master Direction – Risk Management and Inter-Bank Dealings: Amendments</w:t>
            </w:r>
          </w:p>
        </w:tc>
      </w:tr>
      <w:tr w:rsidR="00535A50" w:rsidRPr="00535A50" w:rsidTr="00F32BCF">
        <w:tc>
          <w:tcPr>
            <w:tcW w:w="988" w:type="dxa"/>
          </w:tcPr>
          <w:p w:rsidR="00535A50"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11</w:t>
            </w:r>
          </w:p>
        </w:tc>
        <w:tc>
          <w:tcPr>
            <w:tcW w:w="8028" w:type="dxa"/>
          </w:tcPr>
          <w:p w:rsidR="00535A50"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Master Direction – Reserve Bank of India (Margining for Non-Centrally Cleared OTC Derivatives) Directions, 2024</w:t>
            </w:r>
          </w:p>
        </w:tc>
      </w:tr>
      <w:tr w:rsidR="00535A50" w:rsidRPr="00535A50" w:rsidTr="00F32BCF">
        <w:tc>
          <w:tcPr>
            <w:tcW w:w="988" w:type="dxa"/>
          </w:tcPr>
          <w:p w:rsidR="00535A50"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12</w:t>
            </w:r>
          </w:p>
        </w:tc>
        <w:tc>
          <w:tcPr>
            <w:tcW w:w="8028" w:type="dxa"/>
          </w:tcPr>
          <w:p w:rsidR="00535A50" w:rsidRPr="00535A50" w:rsidRDefault="00535A50" w:rsidP="00F32BCF">
            <w:pPr>
              <w:rPr>
                <w:rFonts w:ascii="Times New Roman" w:hAnsi="Times New Roman" w:cs="Times New Roman"/>
                <w:sz w:val="24"/>
                <w:szCs w:val="24"/>
              </w:rPr>
            </w:pPr>
            <w:r w:rsidRPr="00535A50">
              <w:rPr>
                <w:rFonts w:ascii="Times New Roman" w:hAnsi="Times New Roman" w:cs="Times New Roman"/>
                <w:sz w:val="24"/>
                <w:szCs w:val="24"/>
              </w:rPr>
              <w:t>Priority Sector Lending – Amendments to the Master Directions</w:t>
            </w:r>
          </w:p>
        </w:tc>
      </w:tr>
    </w:tbl>
    <w:p w:rsidR="00F32AEA" w:rsidRDefault="00625F32"/>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Default="00BD6B31"/>
    <w:p w:rsidR="00BD6B31" w:rsidRPr="00BD6B31" w:rsidRDefault="00BD6B31" w:rsidP="00BD6B31">
      <w:pPr>
        <w:pStyle w:val="head"/>
        <w:jc w:val="both"/>
        <w:rPr>
          <w:rFonts w:ascii="Arial" w:hAnsi="Arial" w:cs="Arial"/>
          <w:b/>
          <w:bCs/>
          <w:color w:val="000000"/>
          <w:sz w:val="20"/>
          <w:szCs w:val="20"/>
        </w:rPr>
      </w:pPr>
      <w:r>
        <w:rPr>
          <w:rFonts w:ascii="Arial" w:hAnsi="Arial" w:cs="Arial"/>
          <w:b/>
          <w:bCs/>
          <w:color w:val="000000"/>
          <w:sz w:val="20"/>
          <w:szCs w:val="20"/>
        </w:rPr>
        <w:lastRenderedPageBreak/>
        <w:t xml:space="preserve">Master Direction – Reserve Bank of India (Commercial Paper and Non-Convertible Debentures of original or initial maturity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one year) Directions, 2024</w:t>
      </w:r>
    </w:p>
    <w:p w:rsidR="00BD6B31" w:rsidRDefault="00BD6B31" w:rsidP="00BD6B31">
      <w:pPr>
        <w:pStyle w:val="NormalWeb"/>
        <w:jc w:val="both"/>
        <w:rPr>
          <w:rFonts w:ascii="Arial" w:hAnsi="Arial" w:cs="Arial"/>
          <w:color w:val="000000"/>
          <w:sz w:val="20"/>
          <w:szCs w:val="20"/>
        </w:rPr>
      </w:pPr>
      <w:r>
        <w:rPr>
          <w:rFonts w:ascii="Arial" w:hAnsi="Arial" w:cs="Arial"/>
          <w:color w:val="000000"/>
          <w:sz w:val="20"/>
          <w:szCs w:val="20"/>
        </w:rPr>
        <w:t>RBI/FMRD/2023-24/109</w:t>
      </w:r>
      <w:r>
        <w:rPr>
          <w:rFonts w:ascii="Arial" w:hAnsi="Arial" w:cs="Arial"/>
          <w:color w:val="000000"/>
          <w:sz w:val="20"/>
          <w:szCs w:val="20"/>
        </w:rPr>
        <w:br/>
        <w:t>FMRD.DIRD.09/14.02.001/2023-24</w:t>
      </w:r>
    </w:p>
    <w:p w:rsidR="00BD6B31" w:rsidRDefault="00BD6B31" w:rsidP="00BD6B31">
      <w:pPr>
        <w:pStyle w:val="NormalWeb"/>
        <w:jc w:val="right"/>
        <w:rPr>
          <w:rFonts w:ascii="Arial" w:hAnsi="Arial" w:cs="Arial"/>
          <w:color w:val="000000"/>
          <w:sz w:val="20"/>
          <w:szCs w:val="20"/>
        </w:rPr>
      </w:pPr>
      <w:r>
        <w:rPr>
          <w:rFonts w:ascii="Arial" w:hAnsi="Arial" w:cs="Arial"/>
          <w:color w:val="000000"/>
          <w:sz w:val="20"/>
          <w:szCs w:val="20"/>
        </w:rPr>
        <w:t>January 03, 2024</w:t>
      </w:r>
    </w:p>
    <w:p w:rsidR="00BD6B31" w:rsidRDefault="00BD6B31" w:rsidP="00BD6B31">
      <w:pPr>
        <w:pStyle w:val="NormalWeb"/>
        <w:jc w:val="both"/>
        <w:rPr>
          <w:rFonts w:ascii="Arial" w:hAnsi="Arial" w:cs="Arial"/>
          <w:color w:val="000000"/>
          <w:sz w:val="20"/>
          <w:szCs w:val="20"/>
        </w:rPr>
      </w:pPr>
      <w:r>
        <w:rPr>
          <w:rFonts w:ascii="Arial" w:hAnsi="Arial" w:cs="Arial"/>
          <w:color w:val="000000"/>
          <w:sz w:val="20"/>
          <w:szCs w:val="20"/>
        </w:rPr>
        <w:t>To</w:t>
      </w:r>
    </w:p>
    <w:p w:rsidR="00BD6B31" w:rsidRDefault="00BD6B31" w:rsidP="00BD6B31">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rsidR="00BD6B31" w:rsidRDefault="00BD6B31" w:rsidP="00BD6B31">
      <w:pPr>
        <w:pStyle w:val="NormalWeb"/>
        <w:jc w:val="both"/>
        <w:rPr>
          <w:rFonts w:ascii="Arial" w:hAnsi="Arial" w:cs="Arial"/>
          <w:color w:val="000000"/>
          <w:sz w:val="20"/>
          <w:szCs w:val="20"/>
        </w:rPr>
      </w:pPr>
      <w:r>
        <w:rPr>
          <w:rFonts w:ascii="Arial" w:hAnsi="Arial" w:cs="Arial"/>
          <w:color w:val="000000"/>
          <w:sz w:val="20"/>
          <w:szCs w:val="20"/>
        </w:rPr>
        <w:t>Madam/Sir</w:t>
      </w:r>
    </w:p>
    <w:p w:rsidR="00BD6B31" w:rsidRDefault="00BD6B31" w:rsidP="00BD6B31">
      <w:pPr>
        <w:pStyle w:val="head"/>
        <w:jc w:val="both"/>
        <w:rPr>
          <w:rFonts w:ascii="Arial" w:hAnsi="Arial" w:cs="Arial"/>
          <w:b/>
          <w:bCs/>
          <w:color w:val="000000"/>
          <w:sz w:val="20"/>
          <w:szCs w:val="20"/>
        </w:rPr>
      </w:pPr>
      <w:r>
        <w:rPr>
          <w:rFonts w:ascii="Arial" w:hAnsi="Arial" w:cs="Arial"/>
          <w:b/>
          <w:bCs/>
          <w:color w:val="000000"/>
          <w:sz w:val="20"/>
          <w:szCs w:val="20"/>
        </w:rPr>
        <w:t xml:space="preserve">Master Direction – Reserve Bank of India (Commercial Paper and Non-Convertible Debentures of original or initial maturity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one year) Directions, 2024</w:t>
      </w:r>
    </w:p>
    <w:p w:rsidR="00BD6B31" w:rsidRDefault="00BD6B31" w:rsidP="00BD6B31">
      <w:pPr>
        <w:pStyle w:val="NormalWeb"/>
        <w:jc w:val="both"/>
        <w:rPr>
          <w:rFonts w:ascii="Arial" w:hAnsi="Arial" w:cs="Arial"/>
          <w:color w:val="000000"/>
          <w:sz w:val="20"/>
          <w:szCs w:val="20"/>
        </w:rPr>
      </w:pPr>
      <w:r>
        <w:rPr>
          <w:rFonts w:ascii="Arial" w:hAnsi="Arial" w:cs="Arial"/>
          <w:color w:val="000000"/>
          <w:sz w:val="20"/>
          <w:szCs w:val="20"/>
        </w:rPr>
        <w:t>Please refer to paragraph 6 of the </w:t>
      </w:r>
      <w:hyperlink r:id="rId5"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6" w:tgtFrame="_blank" w:history="1">
        <w:r>
          <w:rPr>
            <w:rStyle w:val="Hyperlink"/>
            <w:rFonts w:ascii="Arial" w:hAnsi="Arial" w:cs="Arial"/>
            <w:sz w:val="20"/>
            <w:szCs w:val="20"/>
          </w:rPr>
          <w:t>second Bi-monthly Monetary Policy Statement for 2019-20 dated June 06, 2019</w:t>
        </w:r>
      </w:hyperlink>
      <w:r>
        <w:rPr>
          <w:rFonts w:ascii="Arial" w:hAnsi="Arial" w:cs="Arial"/>
          <w:color w:val="000000"/>
          <w:sz w:val="20"/>
          <w:szCs w:val="20"/>
        </w:rPr>
        <w:t xml:space="preserve"> regarding Comprehensive Review of Money Market Directions. Accordingly, the draft Directions on Call, Notice and Term Money, Certificate of Deposit and the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markets were released for market feedback on </w:t>
      </w:r>
      <w:hyperlink r:id="rId7" w:tgtFrame="_blank" w:history="1">
        <w:r>
          <w:rPr>
            <w:rStyle w:val="Hyperlink"/>
            <w:rFonts w:ascii="Arial" w:hAnsi="Arial" w:cs="Arial"/>
            <w:sz w:val="20"/>
            <w:szCs w:val="20"/>
          </w:rPr>
          <w:t>December 04, 2020</w:t>
        </w:r>
      </w:hyperlink>
      <w:r>
        <w:rPr>
          <w:rFonts w:ascii="Arial" w:hAnsi="Arial" w:cs="Arial"/>
          <w:color w:val="000000"/>
          <w:sz w:val="20"/>
          <w:szCs w:val="20"/>
        </w:rPr>
        <w:t>. The </w:t>
      </w:r>
      <w:hyperlink r:id="rId8" w:tgtFrame="_blank" w:history="1">
        <w:r>
          <w:rPr>
            <w:rStyle w:val="Hyperlink"/>
            <w:rFonts w:ascii="Arial" w:hAnsi="Arial" w:cs="Arial"/>
            <w:sz w:val="20"/>
            <w:szCs w:val="20"/>
          </w:rPr>
          <w:t>Master Direction - Reserve Bank of India (Call, Notice and Term Money Markets) Directions, 2021</w:t>
        </w:r>
      </w:hyperlink>
      <w:r>
        <w:rPr>
          <w:rFonts w:ascii="Arial" w:hAnsi="Arial" w:cs="Arial"/>
          <w:color w:val="000000"/>
          <w:sz w:val="20"/>
          <w:szCs w:val="20"/>
        </w:rPr>
        <w:t> and the </w:t>
      </w:r>
      <w:hyperlink r:id="rId9" w:tgtFrame="_blank" w:history="1">
        <w:r>
          <w:rPr>
            <w:rStyle w:val="Hyperlink"/>
            <w:rFonts w:ascii="Arial" w:hAnsi="Arial" w:cs="Arial"/>
            <w:sz w:val="20"/>
            <w:szCs w:val="20"/>
          </w:rPr>
          <w:t>Master Direction – Reserve Bank of India (Certificate of Deposit) Directions, 2021</w:t>
        </w:r>
      </w:hyperlink>
      <w:r>
        <w:rPr>
          <w:rFonts w:ascii="Arial" w:hAnsi="Arial" w:cs="Arial"/>
          <w:color w:val="000000"/>
          <w:sz w:val="20"/>
          <w:szCs w:val="20"/>
        </w:rPr>
        <w:t>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on April 01, 2021 and June 04, 2021 respectively.</w:t>
      </w:r>
    </w:p>
    <w:p w:rsidR="00BD6B31" w:rsidRDefault="00BD6B31" w:rsidP="00BD6B31">
      <w:pPr>
        <w:pStyle w:val="NormalWeb"/>
        <w:jc w:val="both"/>
        <w:rPr>
          <w:rFonts w:ascii="Arial" w:hAnsi="Arial" w:cs="Arial"/>
          <w:color w:val="000000"/>
          <w:sz w:val="20"/>
          <w:szCs w:val="20"/>
        </w:rPr>
      </w:pPr>
      <w:r>
        <w:rPr>
          <w:rFonts w:ascii="Arial" w:hAnsi="Arial" w:cs="Arial"/>
          <w:color w:val="000000"/>
          <w:sz w:val="20"/>
          <w:szCs w:val="20"/>
        </w:rPr>
        <w:t>2. </w:t>
      </w:r>
      <w:hyperlink r:id="rId10" w:anchor="ANN1" w:history="1">
        <w:r>
          <w:rPr>
            <w:rStyle w:val="Hyperlink"/>
            <w:rFonts w:ascii="Arial" w:hAnsi="Arial" w:cs="Arial"/>
            <w:sz w:val="20"/>
            <w:szCs w:val="20"/>
          </w:rPr>
          <w:t>The Directions</w:t>
        </w:r>
      </w:hyperlink>
      <w:r>
        <w:rPr>
          <w:rFonts w:ascii="Arial" w:hAnsi="Arial" w:cs="Arial"/>
          <w:color w:val="000000"/>
          <w:sz w:val="20"/>
          <w:szCs w:val="20"/>
        </w:rPr>
        <w:t xml:space="preserve"> on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w:t>
      </w:r>
      <w:proofErr w:type="gramStart"/>
      <w:r>
        <w:rPr>
          <w:rFonts w:ascii="Arial" w:hAnsi="Arial" w:cs="Arial"/>
          <w:color w:val="000000"/>
          <w:sz w:val="20"/>
          <w:szCs w:val="20"/>
        </w:rPr>
        <w:t>have been reviewed</w:t>
      </w:r>
      <w:proofErr w:type="gramEnd"/>
      <w:r>
        <w:rPr>
          <w:rFonts w:ascii="Arial" w:hAnsi="Arial" w:cs="Arial"/>
          <w:color w:val="000000"/>
          <w:sz w:val="20"/>
          <w:szCs w:val="20"/>
        </w:rPr>
        <w:t xml:space="preserve"> based on market feedback and the Master Direction - Reserve Bank of India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Directions, 2024 are being issued herewith.</w:t>
      </w:r>
    </w:p>
    <w:p w:rsidR="00BD6B31" w:rsidRDefault="00BD6B31" w:rsidP="00BD6B31">
      <w:pPr>
        <w:pStyle w:val="NormalWeb"/>
        <w:jc w:val="both"/>
        <w:rPr>
          <w:rFonts w:ascii="Arial" w:hAnsi="Arial" w:cs="Arial"/>
          <w:color w:val="000000"/>
          <w:sz w:val="20"/>
          <w:szCs w:val="20"/>
        </w:rPr>
      </w:pPr>
      <w:r>
        <w:rPr>
          <w:rFonts w:ascii="Arial" w:hAnsi="Arial" w:cs="Arial"/>
          <w:color w:val="000000"/>
          <w:sz w:val="20"/>
          <w:szCs w:val="20"/>
        </w:rPr>
        <w:t xml:space="preserve">3. These Directions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under section 45J, 45K, 45L and 45W of the Reserve Bank of India Act, 1934 read with section 45U of the Act and of all the powers enabling it in this behalf.</w:t>
      </w:r>
    </w:p>
    <w:p w:rsidR="00BD6B31" w:rsidRDefault="00BD6B31" w:rsidP="00BD6B31">
      <w:pPr>
        <w:pStyle w:val="NormalWeb"/>
        <w:jc w:val="right"/>
        <w:rPr>
          <w:rFonts w:ascii="Arial" w:hAnsi="Arial" w:cs="Arial"/>
          <w:color w:val="000000"/>
          <w:sz w:val="20"/>
          <w:szCs w:val="20"/>
        </w:rPr>
      </w:pPr>
      <w:r>
        <w:rPr>
          <w:rFonts w:ascii="Arial" w:hAnsi="Arial" w:cs="Arial"/>
          <w:color w:val="000000"/>
          <w:sz w:val="20"/>
          <w:szCs w:val="20"/>
        </w:rPr>
        <w:t>Yours faithfully,</w:t>
      </w:r>
    </w:p>
    <w:p w:rsidR="00BD6B31" w:rsidRDefault="00BD6B31" w:rsidP="00BD6B31">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BD6B31" w:rsidRDefault="00BD6B31">
      <w:r w:rsidRPr="00BD6B31">
        <w:t>For more details, kindly refer:</w:t>
      </w:r>
    </w:p>
    <w:p w:rsidR="00BD6B31" w:rsidRDefault="00BD6B31">
      <w:hyperlink r:id="rId11" w:history="1">
        <w:r w:rsidRPr="00E71B8F">
          <w:rPr>
            <w:rStyle w:val="Hyperlink"/>
          </w:rPr>
          <w:t>https://www.rbi.org.in/Scripts/NotificationUser.aspx?Id=12592&amp;Mode=0</w:t>
        </w:r>
      </w:hyperlink>
      <w:r>
        <w:t xml:space="preserve"> </w:t>
      </w:r>
    </w:p>
    <w:p w:rsidR="00AD0812" w:rsidRDefault="00AD0812"/>
    <w:p w:rsidR="00AD0812" w:rsidRDefault="00AD0812"/>
    <w:p w:rsidR="00AD0812" w:rsidRDefault="00AD0812"/>
    <w:p w:rsidR="00AD0812" w:rsidRDefault="00AD0812"/>
    <w:p w:rsidR="00AD0812" w:rsidRDefault="00AD0812"/>
    <w:p w:rsidR="00AD0812" w:rsidRDefault="00AD0812"/>
    <w:p w:rsidR="00AD0812" w:rsidRDefault="00AD0812"/>
    <w:p w:rsidR="00627834" w:rsidRPr="00627834" w:rsidRDefault="00627834" w:rsidP="00627834">
      <w:pPr>
        <w:pStyle w:val="head"/>
        <w:jc w:val="both"/>
        <w:rPr>
          <w:rFonts w:ascii="Arial" w:hAnsi="Arial" w:cs="Arial"/>
          <w:b/>
          <w:bCs/>
          <w:color w:val="000000"/>
          <w:sz w:val="20"/>
          <w:szCs w:val="20"/>
        </w:rPr>
      </w:pPr>
      <w:r>
        <w:rPr>
          <w:rFonts w:ascii="Arial" w:hAnsi="Arial" w:cs="Arial"/>
          <w:b/>
          <w:bCs/>
          <w:color w:val="000000"/>
          <w:sz w:val="20"/>
          <w:szCs w:val="20"/>
        </w:rPr>
        <w:lastRenderedPageBreak/>
        <w:t>Risk Management and Inter-Bank Dealings – Hedging of foreign exchange risk</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AD0812" w:rsidRDefault="00AD0812" w:rsidP="00AD0812">
      <w:pPr>
        <w:pStyle w:val="NormalWeb"/>
        <w:jc w:val="right"/>
        <w:rPr>
          <w:rFonts w:ascii="Arial" w:hAnsi="Arial" w:cs="Arial"/>
          <w:color w:val="000000"/>
          <w:sz w:val="20"/>
          <w:szCs w:val="20"/>
        </w:rPr>
      </w:pPr>
      <w:r>
        <w:rPr>
          <w:rFonts w:ascii="Arial" w:hAnsi="Arial" w:cs="Arial"/>
          <w:color w:val="000000"/>
          <w:sz w:val="20"/>
          <w:szCs w:val="20"/>
        </w:rPr>
        <w:t>January 5, 2024</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Authorised Persons</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Madam / Sir,</w:t>
      </w:r>
    </w:p>
    <w:p w:rsidR="00AD0812" w:rsidRDefault="00AD0812" w:rsidP="00AD0812">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12"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13" w:tgtFrame="_blank" w:history="1">
        <w:r>
          <w:rPr>
            <w:rStyle w:val="Hyperlink"/>
            <w:rFonts w:ascii="Arial" w:hAnsi="Arial" w:cs="Arial"/>
            <w:sz w:val="20"/>
            <w:szCs w:val="20"/>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14" w:tgtFrame="_blank" w:history="1">
        <w:r>
          <w:rPr>
            <w:rStyle w:val="Hyperlink"/>
            <w:rFonts w:ascii="Arial" w:hAnsi="Arial" w:cs="Arial"/>
            <w:sz w:val="20"/>
            <w:szCs w:val="20"/>
          </w:rPr>
          <w:t>Notification No. FEMA.25/RB-2000 dated May 03, 2000</w:t>
        </w:r>
      </w:hyperlink>
      <w:r>
        <w:rPr>
          <w:rFonts w:ascii="Arial" w:hAnsi="Arial" w:cs="Arial"/>
          <w:color w:val="000000"/>
          <w:sz w:val="20"/>
          <w:szCs w:val="20"/>
        </w:rPr>
        <w:t>), as amended from time to time and </w:t>
      </w:r>
      <w:hyperlink r:id="rId15"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16" w:anchor="A_3" w:tgtFrame="_blank" w:history="1">
        <w:r>
          <w:rPr>
            <w:rStyle w:val="Hyperlink"/>
            <w:rFonts w:ascii="Arial" w:hAnsi="Arial" w:cs="Arial"/>
            <w:sz w:val="20"/>
            <w:szCs w:val="20"/>
          </w:rPr>
          <w:t>Notification no. FEMA.398/RB-2020 dated February 18, 2020</w:t>
        </w:r>
      </w:hyperlink>
      <w:r>
        <w:rPr>
          <w:rFonts w:ascii="Arial" w:hAnsi="Arial" w:cs="Arial"/>
          <w:color w:val="000000"/>
          <w:sz w:val="20"/>
          <w:szCs w:val="20"/>
        </w:rPr>
        <w:t>) and </w:t>
      </w:r>
      <w:hyperlink r:id="rId17" w:tgtFrame="_blank" w:history="1">
        <w:r>
          <w:rPr>
            <w:rStyle w:val="Hyperlink"/>
            <w:rFonts w:ascii="Arial" w:hAnsi="Arial" w:cs="Arial"/>
            <w:sz w:val="20"/>
            <w:szCs w:val="20"/>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8" w:anchor="fed1" w:tgtFrame="_blank" w:history="1">
        <w:r>
          <w:rPr>
            <w:rStyle w:val="Hyperlink"/>
            <w:rFonts w:ascii="Arial" w:hAnsi="Arial" w:cs="Arial"/>
            <w:sz w:val="20"/>
            <w:szCs w:val="20"/>
          </w:rPr>
          <w:t>Notification No. FED.1/</w:t>
        </w:r>
        <w:proofErr w:type="gramStart"/>
        <w:r>
          <w:rPr>
            <w:rStyle w:val="Hyperlink"/>
            <w:rFonts w:ascii="Arial" w:hAnsi="Arial" w:cs="Arial"/>
            <w:sz w:val="20"/>
            <w:szCs w:val="20"/>
          </w:rPr>
          <w:t>DG(</w:t>
        </w:r>
        <w:proofErr w:type="gramEnd"/>
        <w:r>
          <w:rPr>
            <w:rStyle w:val="Hyperlink"/>
            <w:rFonts w:ascii="Arial" w:hAnsi="Arial" w:cs="Arial"/>
            <w:sz w:val="20"/>
            <w:szCs w:val="20"/>
          </w:rPr>
          <w:t>SG)-2008 dated August 06, 2008</w:t>
        </w:r>
      </w:hyperlink>
      <w:r>
        <w:rPr>
          <w:rFonts w:ascii="Arial" w:hAnsi="Arial" w:cs="Arial"/>
          <w:color w:val="000000"/>
          <w:sz w:val="20"/>
          <w:szCs w:val="20"/>
        </w:rPr>
        <w:t>), as amended from time to time, and Exchange Traded Currency Options (Reserve Bank) Directions, 2010 (</w:t>
      </w:r>
      <w:hyperlink r:id="rId19" w:tgtFrame="_blank" w:history="1">
        <w:r>
          <w:rPr>
            <w:rStyle w:val="Hyperlink"/>
            <w:rFonts w:ascii="Arial" w:hAnsi="Arial" w:cs="Arial"/>
            <w:sz w:val="20"/>
            <w:szCs w:val="20"/>
          </w:rPr>
          <w:t>Notification No. FED.01/ED(HRK)-2010 dated July 30, 2010</w:t>
        </w:r>
      </w:hyperlink>
      <w:r>
        <w:rPr>
          <w:rFonts w:ascii="Arial" w:hAnsi="Arial" w:cs="Arial"/>
          <w:color w:val="000000"/>
          <w:sz w:val="20"/>
          <w:szCs w:val="20"/>
        </w:rPr>
        <w:t>), as amended from time to time, are now being incorporated in the </w:t>
      </w:r>
      <w:hyperlink r:id="rId20" w:tgtFrame="_blank" w:history="1">
        <w:r>
          <w:rPr>
            <w:rStyle w:val="Hyperlink"/>
            <w:rFonts w:ascii="Arial" w:hAnsi="Arial" w:cs="Arial"/>
            <w:sz w:val="20"/>
            <w:szCs w:val="20"/>
          </w:rPr>
          <w:t>Master Direction – Risk Management and Inter-Bank Dealings</w:t>
        </w:r>
      </w:hyperlink>
      <w:r>
        <w:rPr>
          <w:rFonts w:ascii="Arial" w:hAnsi="Arial" w:cs="Arial"/>
          <w:color w:val="000000"/>
          <w:sz w:val="20"/>
          <w:szCs w:val="20"/>
        </w:rPr>
        <w:t>.</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21" w:anchor="ANI" w:history="1">
        <w:r>
          <w:rPr>
            <w:rStyle w:val="Hyperlink"/>
            <w:rFonts w:ascii="Arial" w:hAnsi="Arial" w:cs="Arial"/>
            <w:sz w:val="20"/>
            <w:szCs w:val="20"/>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22"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23" w:anchor="ANII" w:history="1">
        <w:r>
          <w:rPr>
            <w:rStyle w:val="Hyperlink"/>
            <w:rFonts w:ascii="Arial" w:hAnsi="Arial" w:cs="Arial"/>
            <w:sz w:val="20"/>
            <w:szCs w:val="20"/>
          </w:rPr>
          <w:t>Annex-II</w:t>
        </w:r>
      </w:hyperlink>
      <w:r>
        <w:rPr>
          <w:rFonts w:ascii="Arial" w:hAnsi="Arial" w:cs="Arial"/>
          <w:color w:val="000000"/>
          <w:sz w:val="20"/>
          <w:szCs w:val="20"/>
        </w:rPr>
        <w:t>.</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AD0812" w:rsidRDefault="00AD0812" w:rsidP="00AD0812">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AD0812" w:rsidRDefault="00AD0812" w:rsidP="00AD0812">
      <w:pPr>
        <w:pStyle w:val="NormalWeb"/>
        <w:jc w:val="right"/>
        <w:rPr>
          <w:rFonts w:ascii="Arial" w:hAnsi="Arial" w:cs="Arial"/>
          <w:color w:val="000000"/>
          <w:sz w:val="20"/>
          <w:szCs w:val="20"/>
        </w:rPr>
      </w:pPr>
      <w:r>
        <w:rPr>
          <w:rFonts w:ascii="Arial" w:hAnsi="Arial" w:cs="Arial"/>
          <w:color w:val="000000"/>
          <w:sz w:val="20"/>
          <w:szCs w:val="20"/>
        </w:rPr>
        <w:t>Yours faithfully,</w:t>
      </w:r>
    </w:p>
    <w:p w:rsidR="00AD0812" w:rsidRDefault="00AD0812" w:rsidP="00AD0812">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AD0812" w:rsidRDefault="00AD0812">
      <w:r w:rsidRPr="00AD0812">
        <w:t>For more details, kindly refer:</w:t>
      </w:r>
    </w:p>
    <w:p w:rsidR="00AD0812" w:rsidRDefault="00AD0812">
      <w:hyperlink r:id="rId24" w:history="1">
        <w:r w:rsidRPr="00E71B8F">
          <w:rPr>
            <w:rStyle w:val="Hyperlink"/>
          </w:rPr>
          <w:t>https://www.rbi.org.in/Scripts/NotificationUser.aspx?Id=12594&amp;Mode=0</w:t>
        </w:r>
      </w:hyperlink>
      <w:r>
        <w:t xml:space="preserve"> </w:t>
      </w:r>
    </w:p>
    <w:p w:rsidR="007340DD" w:rsidRPr="007340DD" w:rsidRDefault="007340DD" w:rsidP="007340DD">
      <w:pPr>
        <w:pStyle w:val="head"/>
        <w:jc w:val="both"/>
        <w:rPr>
          <w:rFonts w:ascii="Arial" w:hAnsi="Arial" w:cs="Arial"/>
          <w:b/>
          <w:bCs/>
          <w:color w:val="000000"/>
          <w:sz w:val="20"/>
          <w:szCs w:val="20"/>
        </w:rPr>
      </w:pPr>
      <w:r>
        <w:rPr>
          <w:rFonts w:ascii="Arial" w:hAnsi="Arial" w:cs="Arial"/>
          <w:b/>
          <w:bCs/>
          <w:color w:val="000000"/>
          <w:sz w:val="20"/>
          <w:szCs w:val="20"/>
        </w:rPr>
        <w:lastRenderedPageBreak/>
        <w:t>Master Circular- Exposure Norms and Statutory / Other Restrictions - UCBs</w:t>
      </w:r>
    </w:p>
    <w:p w:rsidR="007340DD" w:rsidRDefault="007340DD" w:rsidP="007340DD">
      <w:pPr>
        <w:pStyle w:val="NormalWeb"/>
        <w:jc w:val="both"/>
        <w:rPr>
          <w:rFonts w:ascii="Arial" w:hAnsi="Arial" w:cs="Arial"/>
          <w:color w:val="000000"/>
          <w:sz w:val="20"/>
          <w:szCs w:val="20"/>
        </w:rPr>
      </w:pPr>
      <w:r>
        <w:rPr>
          <w:rFonts w:ascii="Arial" w:hAnsi="Arial" w:cs="Arial"/>
          <w:color w:val="000000"/>
          <w:sz w:val="20"/>
          <w:szCs w:val="20"/>
        </w:rPr>
        <w:t>RBI/2023-24/114</w:t>
      </w:r>
      <w:r>
        <w:rPr>
          <w:rFonts w:ascii="Arial" w:hAnsi="Arial" w:cs="Arial"/>
          <w:color w:val="000000"/>
          <w:sz w:val="20"/>
          <w:szCs w:val="20"/>
        </w:rPr>
        <w:br/>
        <w:t>DoR.CRE.REC.71/07.10.002/2023-24</w:t>
      </w:r>
    </w:p>
    <w:p w:rsidR="007340DD" w:rsidRDefault="007340DD" w:rsidP="007340DD">
      <w:pPr>
        <w:pStyle w:val="NormalWeb"/>
        <w:jc w:val="right"/>
        <w:rPr>
          <w:rFonts w:ascii="Arial" w:hAnsi="Arial" w:cs="Arial"/>
          <w:color w:val="000000"/>
          <w:sz w:val="20"/>
          <w:szCs w:val="20"/>
        </w:rPr>
      </w:pPr>
      <w:r>
        <w:rPr>
          <w:rFonts w:ascii="Arial" w:hAnsi="Arial" w:cs="Arial"/>
          <w:color w:val="000000"/>
          <w:sz w:val="20"/>
          <w:szCs w:val="20"/>
        </w:rPr>
        <w:t>January 16, 2024</w:t>
      </w:r>
    </w:p>
    <w:p w:rsidR="007340DD" w:rsidRDefault="007340DD" w:rsidP="007340DD">
      <w:pPr>
        <w:pStyle w:val="NormalWeb"/>
        <w:jc w:val="both"/>
        <w:rPr>
          <w:rFonts w:ascii="Arial" w:hAnsi="Arial" w:cs="Arial"/>
          <w:color w:val="000000"/>
          <w:sz w:val="20"/>
          <w:szCs w:val="20"/>
        </w:rPr>
      </w:pPr>
      <w:r>
        <w:rPr>
          <w:rFonts w:ascii="Arial" w:hAnsi="Arial" w:cs="Arial"/>
          <w:color w:val="000000"/>
          <w:sz w:val="20"/>
          <w:szCs w:val="20"/>
        </w:rPr>
        <w:t>The Chief Executive Officers</w:t>
      </w:r>
    </w:p>
    <w:p w:rsidR="007340DD" w:rsidRDefault="007340DD" w:rsidP="007340DD">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7340DD" w:rsidRDefault="007340DD" w:rsidP="007340DD">
      <w:pPr>
        <w:pStyle w:val="NormalWeb"/>
        <w:jc w:val="both"/>
        <w:rPr>
          <w:rFonts w:ascii="Arial" w:hAnsi="Arial" w:cs="Arial"/>
          <w:color w:val="000000"/>
          <w:sz w:val="20"/>
          <w:szCs w:val="20"/>
        </w:rPr>
      </w:pPr>
      <w:r>
        <w:rPr>
          <w:rFonts w:ascii="Arial" w:hAnsi="Arial" w:cs="Arial"/>
          <w:color w:val="000000"/>
          <w:sz w:val="20"/>
          <w:szCs w:val="20"/>
        </w:rPr>
        <w:t>Madam / Dear Sir,</w:t>
      </w:r>
    </w:p>
    <w:p w:rsidR="007340DD" w:rsidRDefault="007340DD" w:rsidP="007340DD">
      <w:pPr>
        <w:pStyle w:val="head"/>
        <w:jc w:val="both"/>
        <w:rPr>
          <w:rFonts w:ascii="Arial" w:hAnsi="Arial" w:cs="Arial"/>
          <w:b/>
          <w:bCs/>
          <w:color w:val="000000"/>
          <w:sz w:val="20"/>
          <w:szCs w:val="20"/>
        </w:rPr>
      </w:pPr>
      <w:r>
        <w:rPr>
          <w:rFonts w:ascii="Arial" w:hAnsi="Arial" w:cs="Arial"/>
          <w:b/>
          <w:bCs/>
          <w:color w:val="000000"/>
          <w:sz w:val="20"/>
          <w:szCs w:val="20"/>
        </w:rPr>
        <w:t>Master Circular- Exposure Norms and Statutory / Other Restrictions - UCBs</w:t>
      </w:r>
    </w:p>
    <w:p w:rsidR="007340DD" w:rsidRDefault="007340DD" w:rsidP="007340DD">
      <w:pPr>
        <w:pStyle w:val="NormalWeb"/>
        <w:jc w:val="both"/>
        <w:rPr>
          <w:rFonts w:ascii="Arial" w:hAnsi="Arial" w:cs="Arial"/>
          <w:color w:val="000000"/>
          <w:sz w:val="20"/>
          <w:szCs w:val="20"/>
        </w:rPr>
      </w:pPr>
      <w:r>
        <w:rPr>
          <w:rFonts w:ascii="Arial" w:hAnsi="Arial" w:cs="Arial"/>
          <w:color w:val="000000"/>
          <w:sz w:val="20"/>
          <w:szCs w:val="20"/>
        </w:rPr>
        <w:t>Please refer to </w:t>
      </w:r>
      <w:hyperlink r:id="rId25" w:tgtFrame="_blank" w:history="1">
        <w:r>
          <w:rPr>
            <w:rStyle w:val="Hyperlink"/>
            <w:rFonts w:ascii="Arial" w:hAnsi="Arial" w:cs="Arial"/>
            <w:sz w:val="20"/>
            <w:szCs w:val="20"/>
          </w:rPr>
          <w:t>RBI Master Circular DCBR.CO.BPD. (PCB) MC No.13/13.05.000/2015-16 dated July 1, 2015</w:t>
        </w:r>
      </w:hyperlink>
      <w:r>
        <w:rPr>
          <w:rFonts w:ascii="Arial" w:hAnsi="Arial" w:cs="Arial"/>
          <w:color w:val="000000"/>
          <w:sz w:val="20"/>
          <w:szCs w:val="20"/>
        </w:rPr>
        <w:t> on the captioned subject (available at RBI website </w:t>
      </w:r>
      <w:hyperlink r:id="rId26" w:tgtFrame="_blank" w:history="1">
        <w:r>
          <w:rPr>
            <w:rStyle w:val="Hyperlink"/>
            <w:rFonts w:ascii="Arial" w:hAnsi="Arial" w:cs="Arial"/>
            <w:sz w:val="20"/>
            <w:szCs w:val="20"/>
          </w:rPr>
          <w:t>www.rbi.org.in</w:t>
        </w:r>
      </w:hyperlink>
      <w:r>
        <w:rPr>
          <w:rFonts w:ascii="Arial" w:hAnsi="Arial" w:cs="Arial"/>
          <w:color w:val="000000"/>
          <w:sz w:val="20"/>
          <w:szCs w:val="20"/>
        </w:rPr>
        <w:t>). The updated </w:t>
      </w:r>
      <w:hyperlink r:id="rId27" w:anchor="MC" w:history="1">
        <w:r>
          <w:rPr>
            <w:rStyle w:val="Hyperlink"/>
            <w:rFonts w:ascii="Arial" w:hAnsi="Arial" w:cs="Arial"/>
            <w:sz w:val="20"/>
            <w:szCs w:val="20"/>
          </w:rPr>
          <w:t>Master Circular</w:t>
        </w:r>
      </w:hyperlink>
      <w:r>
        <w:rPr>
          <w:rFonts w:ascii="Arial" w:hAnsi="Arial" w:cs="Arial"/>
          <w:color w:val="000000"/>
          <w:sz w:val="20"/>
          <w:szCs w:val="20"/>
        </w:rPr>
        <w:t xml:space="preserve"> consolidates all the instructions / guidelines on the subject issued </w:t>
      </w:r>
      <w:proofErr w:type="gramStart"/>
      <w:r>
        <w:rPr>
          <w:rFonts w:ascii="Arial" w:hAnsi="Arial" w:cs="Arial"/>
          <w:color w:val="000000"/>
          <w:sz w:val="20"/>
          <w:szCs w:val="20"/>
        </w:rPr>
        <w:t>till</w:t>
      </w:r>
      <w:proofErr w:type="gramEnd"/>
      <w:r>
        <w:rPr>
          <w:rFonts w:ascii="Arial" w:hAnsi="Arial" w:cs="Arial"/>
          <w:color w:val="000000"/>
          <w:sz w:val="20"/>
          <w:szCs w:val="20"/>
        </w:rPr>
        <w:t xml:space="preserve"> date.</w:t>
      </w:r>
    </w:p>
    <w:p w:rsidR="007340DD" w:rsidRDefault="007340DD" w:rsidP="007340DD">
      <w:pPr>
        <w:pStyle w:val="NormalWeb"/>
        <w:jc w:val="both"/>
        <w:rPr>
          <w:rFonts w:ascii="Arial" w:hAnsi="Arial" w:cs="Arial"/>
          <w:color w:val="000000"/>
          <w:sz w:val="20"/>
          <w:szCs w:val="20"/>
        </w:rPr>
      </w:pPr>
      <w:r>
        <w:rPr>
          <w:rFonts w:ascii="Arial" w:hAnsi="Arial" w:cs="Arial"/>
          <w:color w:val="000000"/>
          <w:sz w:val="20"/>
          <w:szCs w:val="20"/>
        </w:rPr>
        <w:t>Yours faithfully,</w:t>
      </w:r>
    </w:p>
    <w:p w:rsidR="007340DD" w:rsidRDefault="007340DD" w:rsidP="007340D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7340DD" w:rsidRDefault="007340DD" w:rsidP="007340DD">
      <w:pPr>
        <w:pStyle w:val="NormalWeb"/>
        <w:rPr>
          <w:rFonts w:ascii="Arial" w:hAnsi="Arial" w:cs="Arial"/>
          <w:color w:val="000000"/>
          <w:sz w:val="20"/>
          <w:szCs w:val="20"/>
        </w:rPr>
      </w:pPr>
      <w:r w:rsidRPr="007340DD">
        <w:rPr>
          <w:rFonts w:ascii="Arial" w:hAnsi="Arial" w:cs="Arial"/>
          <w:color w:val="000000"/>
          <w:sz w:val="20"/>
          <w:szCs w:val="20"/>
        </w:rPr>
        <w:t>For more details, kindly refer:</w:t>
      </w:r>
    </w:p>
    <w:p w:rsidR="007340DD" w:rsidRDefault="007340DD" w:rsidP="007340DD">
      <w:pPr>
        <w:pStyle w:val="NormalWeb"/>
        <w:rPr>
          <w:rFonts w:ascii="Arial" w:hAnsi="Arial" w:cs="Arial"/>
          <w:color w:val="000000"/>
          <w:sz w:val="20"/>
          <w:szCs w:val="20"/>
        </w:rPr>
      </w:pPr>
      <w:hyperlink r:id="rId28" w:history="1">
        <w:r w:rsidRPr="00E71B8F">
          <w:rPr>
            <w:rStyle w:val="Hyperlink"/>
            <w:rFonts w:ascii="Arial" w:hAnsi="Arial" w:cs="Arial"/>
            <w:sz w:val="20"/>
            <w:szCs w:val="20"/>
          </w:rPr>
          <w:t>https://www.rbi.org.in/Scripts/NotificationUser.aspx?Id=12600&amp;Mode=0</w:t>
        </w:r>
      </w:hyperlink>
      <w:r>
        <w:rPr>
          <w:rFonts w:ascii="Arial" w:hAnsi="Arial" w:cs="Arial"/>
          <w:color w:val="000000"/>
          <w:sz w:val="20"/>
          <w:szCs w:val="20"/>
        </w:rPr>
        <w:t xml:space="preserve"> </w:t>
      </w:r>
    </w:p>
    <w:p w:rsidR="007340DD" w:rsidRDefault="007340DD"/>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Default="00955E5B"/>
    <w:p w:rsidR="00955E5B" w:rsidRPr="00955E5B" w:rsidRDefault="00955E5B" w:rsidP="00955E5B">
      <w:pPr>
        <w:pStyle w:val="head"/>
        <w:jc w:val="both"/>
        <w:rPr>
          <w:rFonts w:ascii="Arial" w:hAnsi="Arial" w:cs="Arial"/>
          <w:b/>
          <w:bCs/>
          <w:color w:val="000000"/>
          <w:sz w:val="20"/>
          <w:szCs w:val="20"/>
        </w:rPr>
      </w:pPr>
      <w:r>
        <w:rPr>
          <w:rFonts w:ascii="Arial" w:hAnsi="Arial" w:cs="Arial"/>
          <w:b/>
          <w:bCs/>
          <w:color w:val="000000"/>
          <w:sz w:val="20"/>
          <w:szCs w:val="20"/>
        </w:rPr>
        <w:lastRenderedPageBreak/>
        <w:t>Capital Adequacy Guidelines – Review of Trading Book</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RBI/2023-24/128</w:t>
      </w:r>
      <w:r>
        <w:rPr>
          <w:rFonts w:ascii="Arial" w:hAnsi="Arial" w:cs="Arial"/>
          <w:color w:val="000000"/>
          <w:sz w:val="20"/>
          <w:szCs w:val="20"/>
        </w:rPr>
        <w:br/>
        <w:t>DOR.MRG.REC.80/00-00-003/2023-24</w:t>
      </w:r>
    </w:p>
    <w:p w:rsidR="00955E5B" w:rsidRDefault="00955E5B" w:rsidP="00955E5B">
      <w:pPr>
        <w:pStyle w:val="NormalWeb"/>
        <w:jc w:val="right"/>
        <w:rPr>
          <w:rFonts w:ascii="Arial" w:hAnsi="Arial" w:cs="Arial"/>
          <w:color w:val="000000"/>
          <w:sz w:val="20"/>
          <w:szCs w:val="20"/>
        </w:rPr>
      </w:pPr>
      <w:r>
        <w:rPr>
          <w:rFonts w:ascii="Arial" w:hAnsi="Arial" w:cs="Arial"/>
          <w:color w:val="000000"/>
          <w:sz w:val="20"/>
          <w:szCs w:val="20"/>
        </w:rPr>
        <w:t>February 28, 2024</w:t>
      </w:r>
    </w:p>
    <w:p w:rsidR="00955E5B" w:rsidRDefault="00955E5B" w:rsidP="00955E5B">
      <w:pPr>
        <w:pStyle w:val="NormalWeb"/>
        <w:rPr>
          <w:rFonts w:ascii="Arial" w:hAnsi="Arial" w:cs="Arial"/>
          <w:color w:val="000000"/>
          <w:sz w:val="20"/>
          <w:szCs w:val="20"/>
        </w:rPr>
      </w:pPr>
      <w:r>
        <w:rPr>
          <w:rFonts w:ascii="Arial" w:hAnsi="Arial" w:cs="Arial"/>
          <w:color w:val="000000"/>
          <w:sz w:val="20"/>
          <w:szCs w:val="20"/>
        </w:rPr>
        <w:t xml:space="preserve">All Commercial </w:t>
      </w:r>
      <w:proofErr w:type="gramStart"/>
      <w:r>
        <w:rPr>
          <w:rFonts w:ascii="Arial" w:hAnsi="Arial" w:cs="Arial"/>
          <w:color w:val="000000"/>
          <w:sz w:val="20"/>
          <w:szCs w:val="20"/>
        </w:rPr>
        <w:t>Banks</w:t>
      </w:r>
      <w:proofErr w:type="gramEnd"/>
      <w:r>
        <w:rPr>
          <w:rFonts w:ascii="Arial" w:hAnsi="Arial" w:cs="Arial"/>
          <w:color w:val="000000"/>
          <w:sz w:val="20"/>
          <w:szCs w:val="20"/>
        </w:rPr>
        <w:br/>
        <w:t>(excluding Regional Rural Banks)</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Dear Sir / Madam,</w:t>
      </w:r>
    </w:p>
    <w:p w:rsidR="00955E5B" w:rsidRDefault="00955E5B" w:rsidP="00955E5B">
      <w:pPr>
        <w:pStyle w:val="head"/>
        <w:jc w:val="both"/>
        <w:rPr>
          <w:rFonts w:ascii="Arial" w:hAnsi="Arial" w:cs="Arial"/>
          <w:b/>
          <w:bCs/>
          <w:color w:val="000000"/>
          <w:sz w:val="20"/>
          <w:szCs w:val="20"/>
        </w:rPr>
      </w:pPr>
      <w:r>
        <w:rPr>
          <w:rFonts w:ascii="Arial" w:hAnsi="Arial" w:cs="Arial"/>
          <w:b/>
          <w:bCs/>
          <w:color w:val="000000"/>
          <w:sz w:val="20"/>
          <w:szCs w:val="20"/>
        </w:rPr>
        <w:t>Capital Adequacy Guidelines – Review of Trading Book</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Please refer to </w:t>
      </w:r>
      <w:hyperlink r:id="rId29" w:tgtFrame="_blank" w:history="1">
        <w:r>
          <w:rPr>
            <w:rStyle w:val="Hyperlink"/>
            <w:rFonts w:ascii="Arial" w:hAnsi="Arial" w:cs="Arial"/>
            <w:sz w:val="20"/>
            <w:szCs w:val="20"/>
          </w:rPr>
          <w:t>Master Circular – Basel III Capital Regulations dated May 12, 2023</w:t>
        </w:r>
      </w:hyperlink>
      <w:r>
        <w:rPr>
          <w:rFonts w:ascii="Arial" w:hAnsi="Arial" w:cs="Arial"/>
          <w:color w:val="000000"/>
          <w:sz w:val="20"/>
          <w:szCs w:val="20"/>
        </w:rPr>
        <w:t>, and </w:t>
      </w:r>
      <w:hyperlink r:id="rId30" w:tgtFrame="_blank" w:history="1">
        <w:r>
          <w:rPr>
            <w:rStyle w:val="Hyperlink"/>
            <w:rFonts w:ascii="Arial" w:hAnsi="Arial" w:cs="Arial"/>
            <w:sz w:val="20"/>
            <w:szCs w:val="20"/>
          </w:rPr>
          <w:t>Master Direction – Prudential Norms on Capital Adequacy for Local Area Banks (Directions), 2021 dated October 26, 2021</w:t>
        </w:r>
      </w:hyperlink>
      <w:r>
        <w:rPr>
          <w:rFonts w:ascii="Arial" w:hAnsi="Arial" w:cs="Arial"/>
          <w:color w:val="000000"/>
          <w:sz w:val="20"/>
          <w:szCs w:val="20"/>
        </w:rPr>
        <w:t> (hereinafter together referred to as ‘capital adequacy guidelines’).</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2. As you are aware, the </w:t>
      </w:r>
      <w:hyperlink r:id="rId31" w:tgtFrame="_blank" w:history="1">
        <w:r>
          <w:rPr>
            <w:rStyle w:val="Hyperlink"/>
            <w:rFonts w:ascii="Arial" w:hAnsi="Arial" w:cs="Arial"/>
            <w:sz w:val="20"/>
            <w:szCs w:val="20"/>
          </w:rPr>
          <w:t>Master Direction - Classification, Valuation and Operation of Investment Portfolio of Commercial Banks (Directions), 2023 dated September 12, 2023</w:t>
        </w:r>
      </w:hyperlink>
      <w:r>
        <w:rPr>
          <w:rFonts w:ascii="Arial" w:hAnsi="Arial" w:cs="Arial"/>
          <w:color w:val="000000"/>
          <w:sz w:val="20"/>
          <w:szCs w:val="20"/>
        </w:rPr>
        <w:t xml:space="preserve"> (hereinafter referred as ‘MD on Investment’) inter alia provides a clearly identifiable trading book under ‘Held for Trading (HFT)’ accounting sub-classification and introduces AFS-reserve which would be part of regulatory capital. In view of the changes cited above,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amend the capital adequacy guidelines in alignment with the MD on Investment.</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3. Accordingly, the provisions of </w:t>
      </w:r>
      <w:hyperlink r:id="rId32" w:tgtFrame="_blank" w:history="1">
        <w:r>
          <w:rPr>
            <w:rStyle w:val="Hyperlink"/>
            <w:rFonts w:ascii="Arial" w:hAnsi="Arial" w:cs="Arial"/>
            <w:sz w:val="20"/>
            <w:szCs w:val="20"/>
          </w:rPr>
          <w:t>Master Circular – Basel III Capital Regulations</w:t>
        </w:r>
      </w:hyperlink>
      <w:r>
        <w:rPr>
          <w:rFonts w:ascii="Arial" w:hAnsi="Arial" w:cs="Arial"/>
          <w:color w:val="000000"/>
          <w:sz w:val="20"/>
          <w:szCs w:val="20"/>
        </w:rPr>
        <w:t> </w:t>
      </w:r>
      <w:proofErr w:type="gramStart"/>
      <w:r>
        <w:rPr>
          <w:rFonts w:ascii="Arial" w:hAnsi="Arial" w:cs="Arial"/>
          <w:color w:val="000000"/>
          <w:sz w:val="20"/>
          <w:szCs w:val="20"/>
        </w:rPr>
        <w:t>have been modified</w:t>
      </w:r>
      <w:proofErr w:type="gramEnd"/>
      <w:r>
        <w:rPr>
          <w:rFonts w:ascii="Arial" w:hAnsi="Arial" w:cs="Arial"/>
          <w:color w:val="000000"/>
          <w:sz w:val="20"/>
          <w:szCs w:val="20"/>
        </w:rPr>
        <w:t xml:space="preserve"> as provided in </w:t>
      </w:r>
      <w:hyperlink r:id="rId33" w:tgtFrame="_blank" w:history="1">
        <w:r>
          <w:rPr>
            <w:rStyle w:val="Hyperlink"/>
            <w:rFonts w:ascii="Arial" w:hAnsi="Arial" w:cs="Arial"/>
            <w:sz w:val="20"/>
            <w:szCs w:val="20"/>
          </w:rPr>
          <w:t>Annex 1</w:t>
        </w:r>
      </w:hyperlink>
      <w:r>
        <w:rPr>
          <w:rFonts w:ascii="Arial" w:hAnsi="Arial" w:cs="Arial"/>
          <w:color w:val="000000"/>
          <w:sz w:val="20"/>
          <w:szCs w:val="20"/>
        </w:rPr>
        <w:t>.</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 xml:space="preserve">4. It </w:t>
      </w:r>
      <w:proofErr w:type="gramStart"/>
      <w:r>
        <w:rPr>
          <w:rFonts w:ascii="Arial" w:hAnsi="Arial" w:cs="Arial"/>
          <w:color w:val="000000"/>
          <w:sz w:val="20"/>
          <w:szCs w:val="20"/>
        </w:rPr>
        <w:t>may be noted</w:t>
      </w:r>
      <w:proofErr w:type="gramEnd"/>
      <w:r>
        <w:rPr>
          <w:rFonts w:ascii="Arial" w:hAnsi="Arial" w:cs="Arial"/>
          <w:color w:val="000000"/>
          <w:sz w:val="20"/>
          <w:szCs w:val="20"/>
        </w:rPr>
        <w:t xml:space="preserve"> that ‘</w:t>
      </w:r>
      <w:hyperlink r:id="rId34" w:tgtFrame="_blank" w:history="1">
        <w:r>
          <w:rPr>
            <w:rStyle w:val="Hyperlink"/>
            <w:rFonts w:ascii="Arial" w:hAnsi="Arial" w:cs="Arial"/>
            <w:sz w:val="20"/>
            <w:szCs w:val="20"/>
          </w:rPr>
          <w:t>Draft Guidelines on Minimum Capital Requirements for Market Risk – under Basel III</w:t>
        </w:r>
      </w:hyperlink>
      <w:r>
        <w:rPr>
          <w:rFonts w:ascii="Arial" w:hAnsi="Arial" w:cs="Arial"/>
          <w:color w:val="000000"/>
          <w:sz w:val="20"/>
          <w:szCs w:val="20"/>
        </w:rPr>
        <w:t>’ providing inter alia ‘Definition of trading book’ and ‘Market Risk capital Requirements – Simplified Standardised Approach’ were released on February 17, 2023 for public comments. While the revised definition of trading book for the purpose of capital adequacy will be as provided in Annex I of MD on Investment, the final guidelines on ‘Market Risk Capital Requirements – Simplified Standardised Approach’ will be implemented at a later date and detailed guidelines will be issued separately.</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 xml:space="preserve">5. Considering the transition to ‘Market Risk Capital Requirements – Simplified Standardised Approach’, the extant market risk capital requirements </w:t>
      </w:r>
      <w:proofErr w:type="gramStart"/>
      <w:r>
        <w:rPr>
          <w:rFonts w:ascii="Arial" w:hAnsi="Arial" w:cs="Arial"/>
          <w:color w:val="000000"/>
          <w:sz w:val="20"/>
          <w:szCs w:val="20"/>
        </w:rPr>
        <w:t>have also been recalibrated</w:t>
      </w:r>
      <w:proofErr w:type="gramEnd"/>
      <w:r>
        <w:rPr>
          <w:rFonts w:ascii="Arial" w:hAnsi="Arial" w:cs="Arial"/>
          <w:color w:val="000000"/>
          <w:sz w:val="20"/>
          <w:szCs w:val="20"/>
        </w:rPr>
        <w:t xml:space="preserve"> by introducing intermediate scalers. Banks should keep this in view while reviewing their strategies and capital planning measures.</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6. Further, the provisions of </w:t>
      </w:r>
      <w:hyperlink r:id="rId35" w:tgtFrame="_blank" w:history="1">
        <w:r>
          <w:rPr>
            <w:rStyle w:val="Hyperlink"/>
            <w:rFonts w:ascii="Arial" w:hAnsi="Arial" w:cs="Arial"/>
            <w:sz w:val="20"/>
            <w:szCs w:val="20"/>
          </w:rPr>
          <w:t>Master Direction – Prudential Norms on Capital Adequacy for Local Area Banks (Directions), 2021</w:t>
        </w:r>
      </w:hyperlink>
      <w:r>
        <w:rPr>
          <w:rFonts w:ascii="Arial" w:hAnsi="Arial" w:cs="Arial"/>
          <w:color w:val="000000"/>
          <w:sz w:val="20"/>
          <w:szCs w:val="20"/>
        </w:rPr>
        <w:t> have been modified as provided in </w:t>
      </w:r>
      <w:hyperlink r:id="rId36" w:tgtFrame="_blank" w:history="1">
        <w:r>
          <w:rPr>
            <w:rStyle w:val="Hyperlink"/>
            <w:rFonts w:ascii="Arial" w:hAnsi="Arial" w:cs="Arial"/>
            <w:sz w:val="20"/>
            <w:szCs w:val="20"/>
          </w:rPr>
          <w:t>Annex 2</w:t>
        </w:r>
      </w:hyperlink>
      <w:r>
        <w:rPr>
          <w:rFonts w:ascii="Arial" w:hAnsi="Arial" w:cs="Arial"/>
          <w:color w:val="000000"/>
          <w:sz w:val="20"/>
          <w:szCs w:val="20"/>
        </w:rPr>
        <w:t>.</w:t>
      </w:r>
    </w:p>
    <w:p w:rsidR="00955E5B" w:rsidRDefault="00955E5B" w:rsidP="00955E5B">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7. These instructions shall be applicable from April 1, 2024 to all Commercial Banks (excluding Regional Rural Banks).</w:t>
      </w:r>
    </w:p>
    <w:p w:rsidR="00955E5B" w:rsidRDefault="00955E5B" w:rsidP="00955E5B">
      <w:pPr>
        <w:pStyle w:val="NormalWeb"/>
        <w:jc w:val="both"/>
        <w:rPr>
          <w:rFonts w:ascii="Arial" w:hAnsi="Arial" w:cs="Arial"/>
          <w:color w:val="000000"/>
          <w:sz w:val="20"/>
          <w:szCs w:val="20"/>
        </w:rPr>
      </w:pPr>
      <w:r>
        <w:rPr>
          <w:rFonts w:ascii="Arial" w:hAnsi="Arial" w:cs="Arial"/>
          <w:color w:val="000000"/>
          <w:sz w:val="20"/>
          <w:szCs w:val="20"/>
        </w:rPr>
        <w:t>Yours faithfully,</w:t>
      </w:r>
    </w:p>
    <w:p w:rsidR="00955E5B" w:rsidRDefault="00955E5B" w:rsidP="00955E5B">
      <w:pPr>
        <w:pStyle w:val="NormalWeb"/>
        <w:rPr>
          <w:rFonts w:ascii="Arial" w:hAnsi="Arial" w:cs="Arial"/>
          <w:color w:val="000000"/>
          <w:sz w:val="20"/>
          <w:szCs w:val="20"/>
        </w:rPr>
      </w:pPr>
      <w:r>
        <w:rPr>
          <w:rFonts w:ascii="Arial" w:hAnsi="Arial" w:cs="Arial"/>
          <w:color w:val="000000"/>
          <w:sz w:val="20"/>
          <w:szCs w:val="20"/>
        </w:rPr>
        <w:t xml:space="preserve">(Usha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55E5B" w:rsidRDefault="00955E5B" w:rsidP="00955E5B">
      <w:pPr>
        <w:pStyle w:val="NormalWeb"/>
        <w:rPr>
          <w:rFonts w:ascii="Arial" w:hAnsi="Arial" w:cs="Arial"/>
          <w:color w:val="000000"/>
          <w:sz w:val="20"/>
          <w:szCs w:val="20"/>
        </w:rPr>
      </w:pPr>
      <w:r w:rsidRPr="00955E5B">
        <w:rPr>
          <w:rFonts w:ascii="Arial" w:hAnsi="Arial" w:cs="Arial"/>
          <w:color w:val="000000"/>
          <w:sz w:val="20"/>
          <w:szCs w:val="20"/>
        </w:rPr>
        <w:t>For more details, kindly refer:</w:t>
      </w:r>
    </w:p>
    <w:p w:rsidR="00153039" w:rsidRDefault="00E11659" w:rsidP="00955E5B">
      <w:pPr>
        <w:pStyle w:val="NormalWeb"/>
        <w:rPr>
          <w:rFonts w:ascii="Arial" w:hAnsi="Arial" w:cs="Arial"/>
          <w:color w:val="000000"/>
          <w:sz w:val="20"/>
          <w:szCs w:val="20"/>
        </w:rPr>
      </w:pPr>
      <w:hyperlink r:id="rId37" w:history="1">
        <w:r w:rsidRPr="00E71B8F">
          <w:rPr>
            <w:rStyle w:val="Hyperlink"/>
            <w:rFonts w:ascii="Arial" w:hAnsi="Arial" w:cs="Arial"/>
            <w:sz w:val="20"/>
            <w:szCs w:val="20"/>
          </w:rPr>
          <w:t>https://www.rbi.org.in/Scripts/NotificationUser.aspx?Id=12615&amp;Mode=0</w:t>
        </w:r>
      </w:hyperlink>
      <w:r>
        <w:rPr>
          <w:rFonts w:ascii="Arial" w:hAnsi="Arial" w:cs="Arial"/>
          <w:color w:val="000000"/>
          <w:sz w:val="20"/>
          <w:szCs w:val="20"/>
        </w:rPr>
        <w:t xml:space="preserve"> </w:t>
      </w:r>
    </w:p>
    <w:p w:rsidR="00153039" w:rsidRPr="00153039" w:rsidRDefault="00153039" w:rsidP="00153039">
      <w:pPr>
        <w:spacing w:before="100" w:beforeAutospacing="1" w:after="100" w:afterAutospacing="1" w:line="240" w:lineRule="auto"/>
        <w:jc w:val="both"/>
        <w:rPr>
          <w:rFonts w:ascii="Arial" w:eastAsia="Times New Roman" w:hAnsi="Arial" w:cs="Arial"/>
          <w:b/>
          <w:bCs/>
          <w:color w:val="000000"/>
          <w:sz w:val="20"/>
          <w:szCs w:val="20"/>
          <w:lang w:eastAsia="en-IN"/>
        </w:rPr>
      </w:pPr>
      <w:r w:rsidRPr="00153039">
        <w:rPr>
          <w:rFonts w:ascii="Arial" w:eastAsia="Times New Roman" w:hAnsi="Arial" w:cs="Arial"/>
          <w:b/>
          <w:bCs/>
          <w:color w:val="000000"/>
          <w:sz w:val="20"/>
          <w:szCs w:val="20"/>
          <w:lang w:eastAsia="en-IN"/>
        </w:rPr>
        <w:lastRenderedPageBreak/>
        <w:t>Investments in Alternative Investment Funds (AIFs)</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RBI/2023-24/140</w:t>
      </w:r>
      <w:r w:rsidRPr="00153039">
        <w:rPr>
          <w:rFonts w:ascii="Arial" w:eastAsia="Times New Roman" w:hAnsi="Arial" w:cs="Arial"/>
          <w:color w:val="000000"/>
          <w:sz w:val="20"/>
          <w:szCs w:val="20"/>
          <w:lang w:eastAsia="en-IN"/>
        </w:rPr>
        <w:br/>
        <w:t>DOR.STR.REC.85/21.04.048/2023-24</w:t>
      </w:r>
    </w:p>
    <w:p w:rsidR="00153039" w:rsidRPr="00153039" w:rsidRDefault="00153039" w:rsidP="00153039">
      <w:pPr>
        <w:spacing w:before="100" w:beforeAutospacing="1" w:after="100" w:afterAutospacing="1" w:line="240" w:lineRule="auto"/>
        <w:jc w:val="right"/>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March 27, 2024</w:t>
      </w:r>
    </w:p>
    <w:p w:rsidR="00153039" w:rsidRPr="00153039" w:rsidRDefault="00153039" w:rsidP="00153039">
      <w:pPr>
        <w:spacing w:before="100" w:beforeAutospacing="1" w:after="100" w:afterAutospacing="1" w:line="240" w:lineRule="auto"/>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All Commercial Banks (including Small Finance Banks, Local Area Banks and Regional Rural Banks</w:t>
      </w:r>
      <w:proofErr w:type="gramStart"/>
      <w:r w:rsidRPr="00153039">
        <w:rPr>
          <w:rFonts w:ascii="Arial" w:eastAsia="Times New Roman" w:hAnsi="Arial" w:cs="Arial"/>
          <w:color w:val="000000"/>
          <w:sz w:val="20"/>
          <w:szCs w:val="20"/>
          <w:lang w:eastAsia="en-IN"/>
        </w:rPr>
        <w:t>)</w:t>
      </w:r>
      <w:proofErr w:type="gramEnd"/>
      <w:r w:rsidRPr="00153039">
        <w:rPr>
          <w:rFonts w:ascii="Arial" w:eastAsia="Times New Roman" w:hAnsi="Arial" w:cs="Arial"/>
          <w:color w:val="000000"/>
          <w:sz w:val="20"/>
          <w:szCs w:val="20"/>
          <w:lang w:eastAsia="en-IN"/>
        </w:rPr>
        <w:br/>
        <w:t>All Primary (Urban) Co-operative Banks/State Co-operative Banks/ Central Co-operative Banks</w:t>
      </w:r>
      <w:r w:rsidRPr="00153039">
        <w:rPr>
          <w:rFonts w:ascii="Arial" w:eastAsia="Times New Roman" w:hAnsi="Arial" w:cs="Arial"/>
          <w:color w:val="000000"/>
          <w:sz w:val="20"/>
          <w:szCs w:val="20"/>
          <w:lang w:eastAsia="en-IN"/>
        </w:rPr>
        <w:br/>
        <w:t>All All-India Financial Institutions</w:t>
      </w:r>
      <w:r w:rsidRPr="00153039">
        <w:rPr>
          <w:rFonts w:ascii="Arial" w:eastAsia="Times New Roman" w:hAnsi="Arial" w:cs="Arial"/>
          <w:color w:val="000000"/>
          <w:sz w:val="20"/>
          <w:szCs w:val="20"/>
          <w:lang w:eastAsia="en-IN"/>
        </w:rPr>
        <w:br/>
        <w:t>All Non-Banking Financial Companies (including Housing Finance Companies)</w:t>
      </w:r>
    </w:p>
    <w:p w:rsidR="00153039" w:rsidRPr="00153039" w:rsidRDefault="00153039" w:rsidP="00153039">
      <w:pPr>
        <w:spacing w:before="100" w:beforeAutospacing="1" w:after="100" w:afterAutospacing="1" w:line="240" w:lineRule="auto"/>
        <w:jc w:val="both"/>
        <w:rPr>
          <w:rFonts w:ascii="Arial" w:eastAsia="Times New Roman" w:hAnsi="Arial" w:cs="Arial"/>
          <w:b/>
          <w:bCs/>
          <w:color w:val="000000"/>
          <w:sz w:val="20"/>
          <w:szCs w:val="20"/>
          <w:lang w:eastAsia="en-IN"/>
        </w:rPr>
      </w:pPr>
      <w:r w:rsidRPr="00153039">
        <w:rPr>
          <w:rFonts w:ascii="Arial" w:eastAsia="Times New Roman" w:hAnsi="Arial" w:cs="Arial"/>
          <w:b/>
          <w:bCs/>
          <w:color w:val="000000"/>
          <w:sz w:val="20"/>
          <w:szCs w:val="20"/>
          <w:lang w:eastAsia="en-IN"/>
        </w:rPr>
        <w:t>Investments in Alternative Investment Funds (AIFs)</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Please refer to the </w:t>
      </w:r>
      <w:hyperlink r:id="rId38" w:tgtFrame="_blank" w:history="1">
        <w:r w:rsidRPr="00153039">
          <w:rPr>
            <w:rFonts w:ascii="Arial" w:eastAsia="Times New Roman" w:hAnsi="Arial" w:cs="Arial"/>
            <w:color w:val="0000FF"/>
            <w:sz w:val="20"/>
            <w:szCs w:val="20"/>
            <w:u w:val="single"/>
            <w:lang w:eastAsia="en-IN"/>
          </w:rPr>
          <w:t>circular DOR.STR.REC.58/21.04.048/2023-24 dated December 19, 2023</w:t>
        </w:r>
      </w:hyperlink>
      <w:r w:rsidRPr="00153039">
        <w:rPr>
          <w:rFonts w:ascii="Arial" w:eastAsia="Times New Roman" w:hAnsi="Arial" w:cs="Arial"/>
          <w:color w:val="000000"/>
          <w:sz w:val="20"/>
          <w:szCs w:val="20"/>
          <w:lang w:eastAsia="en-IN"/>
        </w:rPr>
        <w:t xml:space="preserve"> (‘Circular’) on the captioned subject, in terms of which instructions </w:t>
      </w:r>
      <w:proofErr w:type="gramStart"/>
      <w:r w:rsidRPr="00153039">
        <w:rPr>
          <w:rFonts w:ascii="Arial" w:eastAsia="Times New Roman" w:hAnsi="Arial" w:cs="Arial"/>
          <w:color w:val="000000"/>
          <w:sz w:val="20"/>
          <w:szCs w:val="20"/>
          <w:lang w:eastAsia="en-IN"/>
        </w:rPr>
        <w:t>were issued</w:t>
      </w:r>
      <w:proofErr w:type="gramEnd"/>
      <w:r w:rsidRPr="00153039">
        <w:rPr>
          <w:rFonts w:ascii="Arial" w:eastAsia="Times New Roman" w:hAnsi="Arial" w:cs="Arial"/>
          <w:color w:val="000000"/>
          <w:sz w:val="20"/>
          <w:szCs w:val="20"/>
          <w:lang w:eastAsia="en-IN"/>
        </w:rPr>
        <w:t xml:space="preserve"> to address certain regulatory concerns relating to investment by regulated entities (REs) in the AIFs.</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 xml:space="preserve">2. With a view to ensuring uniformity in implementation among the REs, and to address the concerns flagged in various representations received from stakeholders, it </w:t>
      </w:r>
      <w:proofErr w:type="gramStart"/>
      <w:r w:rsidRPr="00153039">
        <w:rPr>
          <w:rFonts w:ascii="Arial" w:eastAsia="Times New Roman" w:hAnsi="Arial" w:cs="Arial"/>
          <w:color w:val="000000"/>
          <w:sz w:val="20"/>
          <w:szCs w:val="20"/>
          <w:lang w:eastAsia="en-IN"/>
        </w:rPr>
        <w:t>is advised</w:t>
      </w:r>
      <w:proofErr w:type="gramEnd"/>
      <w:r w:rsidRPr="00153039">
        <w:rPr>
          <w:rFonts w:ascii="Arial" w:eastAsia="Times New Roman" w:hAnsi="Arial" w:cs="Arial"/>
          <w:color w:val="000000"/>
          <w:sz w:val="20"/>
          <w:szCs w:val="20"/>
          <w:lang w:eastAsia="en-IN"/>
        </w:rPr>
        <w:t xml:space="preserve"> as under:</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w:t>
      </w:r>
      <w:proofErr w:type="spellStart"/>
      <w:r w:rsidRPr="00153039">
        <w:rPr>
          <w:rFonts w:ascii="Arial" w:eastAsia="Times New Roman" w:hAnsi="Arial" w:cs="Arial"/>
          <w:color w:val="000000"/>
          <w:sz w:val="20"/>
          <w:szCs w:val="20"/>
          <w:lang w:eastAsia="en-IN"/>
        </w:rPr>
        <w:t>i</w:t>
      </w:r>
      <w:proofErr w:type="spellEnd"/>
      <w:r w:rsidRPr="00153039">
        <w:rPr>
          <w:rFonts w:ascii="Arial" w:eastAsia="Times New Roman" w:hAnsi="Arial" w:cs="Arial"/>
          <w:color w:val="000000"/>
          <w:sz w:val="20"/>
          <w:szCs w:val="20"/>
          <w:lang w:eastAsia="en-IN"/>
        </w:rPr>
        <w:t>) Downstream investments referred to in paragraph 2 (</w:t>
      </w:r>
      <w:proofErr w:type="spellStart"/>
      <w:r w:rsidRPr="00153039">
        <w:rPr>
          <w:rFonts w:ascii="Arial" w:eastAsia="Times New Roman" w:hAnsi="Arial" w:cs="Arial"/>
          <w:color w:val="000000"/>
          <w:sz w:val="20"/>
          <w:szCs w:val="20"/>
          <w:lang w:eastAsia="en-IN"/>
        </w:rPr>
        <w:t>i</w:t>
      </w:r>
      <w:proofErr w:type="spellEnd"/>
      <w:r w:rsidRPr="00153039">
        <w:rPr>
          <w:rFonts w:ascii="Arial" w:eastAsia="Times New Roman" w:hAnsi="Arial" w:cs="Arial"/>
          <w:color w:val="000000"/>
          <w:sz w:val="20"/>
          <w:szCs w:val="20"/>
          <w:lang w:eastAsia="en-IN"/>
        </w:rPr>
        <w:t>) of the Circular shall exclude investments in equity shares of the debtor company of the RE, but shall include all other investments, including investment in hybrid instruments.</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153039">
        <w:rPr>
          <w:rFonts w:ascii="Arial" w:eastAsia="Times New Roman" w:hAnsi="Arial" w:cs="Arial"/>
          <w:color w:val="000000"/>
          <w:sz w:val="20"/>
          <w:szCs w:val="20"/>
          <w:lang w:eastAsia="en-IN"/>
        </w:rPr>
        <w:t>(iv) Further</w:t>
      </w:r>
      <w:proofErr w:type="gramEnd"/>
      <w:r w:rsidRPr="00153039">
        <w:rPr>
          <w:rFonts w:ascii="Arial" w:eastAsia="Times New Roman" w:hAnsi="Arial" w:cs="Arial"/>
          <w:color w:val="000000"/>
          <w:sz w:val="20"/>
          <w:szCs w:val="20"/>
          <w:lang w:eastAsia="en-IN"/>
        </w:rPr>
        <w:t xml:space="preserve"> with regard to paragraph 3 of the Circular:</w:t>
      </w:r>
    </w:p>
    <w:p w:rsidR="00153039" w:rsidRPr="00153039" w:rsidRDefault="00153039" w:rsidP="00153039">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153039">
        <w:rPr>
          <w:rFonts w:ascii="Arial" w:eastAsia="Times New Roman" w:hAnsi="Arial" w:cs="Arial"/>
          <w:color w:val="000000"/>
          <w:sz w:val="20"/>
          <w:szCs w:val="20"/>
          <w:lang w:eastAsia="en-IN"/>
        </w:rPr>
        <w:t>proposed</w:t>
      </w:r>
      <w:proofErr w:type="gramEnd"/>
      <w:r w:rsidRPr="00153039">
        <w:rPr>
          <w:rFonts w:ascii="Arial" w:eastAsia="Times New Roman" w:hAnsi="Arial" w:cs="Arial"/>
          <w:color w:val="000000"/>
          <w:sz w:val="20"/>
          <w:szCs w:val="20"/>
          <w:lang w:eastAsia="en-IN"/>
        </w:rPr>
        <w:t xml:space="preserve"> deduction from capital shall take place equally from both Tier-1 and Tier-2 capital.</w:t>
      </w:r>
    </w:p>
    <w:p w:rsidR="00153039" w:rsidRPr="00153039" w:rsidRDefault="00153039" w:rsidP="00153039">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153039">
        <w:rPr>
          <w:rFonts w:ascii="Arial" w:eastAsia="Times New Roman" w:hAnsi="Arial" w:cs="Arial"/>
          <w:color w:val="000000"/>
          <w:sz w:val="20"/>
          <w:szCs w:val="20"/>
          <w:lang w:eastAsia="en-IN"/>
        </w:rPr>
        <w:t>reference</w:t>
      </w:r>
      <w:proofErr w:type="gramEnd"/>
      <w:r w:rsidRPr="00153039">
        <w:rPr>
          <w:rFonts w:ascii="Arial" w:eastAsia="Times New Roman" w:hAnsi="Arial" w:cs="Arial"/>
          <w:color w:val="000000"/>
          <w:sz w:val="20"/>
          <w:szCs w:val="20"/>
          <w:lang w:eastAsia="en-IN"/>
        </w:rPr>
        <w:t xml:space="preserve"> to investment in subordinated units of AIF Scheme includes all forms of subordinated exposures, including investment in the nature of sponsor units.</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 xml:space="preserve">(v) Investments </w:t>
      </w:r>
      <w:proofErr w:type="gramStart"/>
      <w:r w:rsidRPr="00153039">
        <w:rPr>
          <w:rFonts w:ascii="Arial" w:eastAsia="Times New Roman" w:hAnsi="Arial" w:cs="Arial"/>
          <w:color w:val="000000"/>
          <w:sz w:val="20"/>
          <w:szCs w:val="20"/>
          <w:lang w:eastAsia="en-IN"/>
        </w:rPr>
        <w:t>by REs in AIFs through intermediaries such as fund of funds or mutual funds</w:t>
      </w:r>
      <w:proofErr w:type="gramEnd"/>
      <w:r w:rsidRPr="00153039">
        <w:rPr>
          <w:rFonts w:ascii="Arial" w:eastAsia="Times New Roman" w:hAnsi="Arial" w:cs="Arial"/>
          <w:color w:val="000000"/>
          <w:sz w:val="20"/>
          <w:szCs w:val="20"/>
          <w:lang w:eastAsia="en-IN"/>
        </w:rPr>
        <w:t xml:space="preserve"> are not included in the scope of the Circular.</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 xml:space="preserve">3. The above instructions </w:t>
      </w:r>
      <w:proofErr w:type="gramStart"/>
      <w:r w:rsidRPr="00153039">
        <w:rPr>
          <w:rFonts w:ascii="Arial" w:eastAsia="Times New Roman" w:hAnsi="Arial" w:cs="Arial"/>
          <w:color w:val="000000"/>
          <w:sz w:val="20"/>
          <w:szCs w:val="20"/>
          <w:lang w:eastAsia="en-IN"/>
        </w:rPr>
        <w:t>have been issued</w:t>
      </w:r>
      <w:proofErr w:type="gramEnd"/>
      <w:r w:rsidRPr="00153039">
        <w:rPr>
          <w:rFonts w:ascii="Arial" w:eastAsia="Times New Roman" w:hAnsi="Arial" w:cs="Arial"/>
          <w:color w:val="000000"/>
          <w:sz w:val="20"/>
          <w:szCs w:val="20"/>
          <w:lang w:eastAsia="en-IN"/>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153039" w:rsidRPr="00153039" w:rsidRDefault="00153039" w:rsidP="00153039">
      <w:pPr>
        <w:spacing w:before="100" w:beforeAutospacing="1" w:after="100" w:afterAutospacing="1" w:line="240" w:lineRule="auto"/>
        <w:jc w:val="both"/>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Yours faithfully,</w:t>
      </w:r>
    </w:p>
    <w:p w:rsidR="00153039" w:rsidRPr="00153039" w:rsidRDefault="00153039" w:rsidP="00153039">
      <w:pPr>
        <w:spacing w:before="100" w:beforeAutospacing="1" w:after="100" w:afterAutospacing="1" w:line="240" w:lineRule="auto"/>
        <w:rPr>
          <w:rFonts w:ascii="Arial" w:eastAsia="Times New Roman" w:hAnsi="Arial" w:cs="Arial"/>
          <w:color w:val="000000"/>
          <w:sz w:val="20"/>
          <w:szCs w:val="20"/>
          <w:lang w:eastAsia="en-IN"/>
        </w:rPr>
      </w:pPr>
      <w:r w:rsidRPr="00153039">
        <w:rPr>
          <w:rFonts w:ascii="Arial" w:eastAsia="Times New Roman" w:hAnsi="Arial" w:cs="Arial"/>
          <w:color w:val="000000"/>
          <w:sz w:val="20"/>
          <w:szCs w:val="20"/>
          <w:lang w:eastAsia="en-IN"/>
        </w:rPr>
        <w:t>(</w:t>
      </w:r>
      <w:proofErr w:type="spellStart"/>
      <w:r w:rsidRPr="00153039">
        <w:rPr>
          <w:rFonts w:ascii="Arial" w:eastAsia="Times New Roman" w:hAnsi="Arial" w:cs="Arial"/>
          <w:color w:val="000000"/>
          <w:sz w:val="20"/>
          <w:szCs w:val="20"/>
          <w:lang w:eastAsia="en-IN"/>
        </w:rPr>
        <w:t>Vaibhav</w:t>
      </w:r>
      <w:proofErr w:type="spellEnd"/>
      <w:r w:rsidRPr="00153039">
        <w:rPr>
          <w:rFonts w:ascii="Arial" w:eastAsia="Times New Roman" w:hAnsi="Arial" w:cs="Arial"/>
          <w:color w:val="000000"/>
          <w:sz w:val="20"/>
          <w:szCs w:val="20"/>
          <w:lang w:eastAsia="en-IN"/>
        </w:rPr>
        <w:t xml:space="preserve"> </w:t>
      </w:r>
      <w:proofErr w:type="spellStart"/>
      <w:r w:rsidRPr="00153039">
        <w:rPr>
          <w:rFonts w:ascii="Arial" w:eastAsia="Times New Roman" w:hAnsi="Arial" w:cs="Arial"/>
          <w:color w:val="000000"/>
          <w:sz w:val="20"/>
          <w:szCs w:val="20"/>
          <w:lang w:eastAsia="en-IN"/>
        </w:rPr>
        <w:t>Chaturvedi</w:t>
      </w:r>
      <w:proofErr w:type="spellEnd"/>
      <w:r w:rsidRPr="00153039">
        <w:rPr>
          <w:rFonts w:ascii="Arial" w:eastAsia="Times New Roman" w:hAnsi="Arial" w:cs="Arial"/>
          <w:color w:val="000000"/>
          <w:sz w:val="20"/>
          <w:szCs w:val="20"/>
          <w:lang w:eastAsia="en-IN"/>
        </w:rPr>
        <w:t>)</w:t>
      </w:r>
      <w:r w:rsidRPr="00153039">
        <w:rPr>
          <w:rFonts w:ascii="Arial" w:eastAsia="Times New Roman" w:hAnsi="Arial" w:cs="Arial"/>
          <w:color w:val="000000"/>
          <w:sz w:val="20"/>
          <w:szCs w:val="20"/>
          <w:lang w:eastAsia="en-IN"/>
        </w:rPr>
        <w:br/>
        <w:t>Chief General Manager</w:t>
      </w:r>
    </w:p>
    <w:p w:rsidR="00153039" w:rsidRDefault="00153039" w:rsidP="00955E5B">
      <w:pPr>
        <w:pStyle w:val="NormalWeb"/>
        <w:rPr>
          <w:rFonts w:ascii="Arial" w:hAnsi="Arial" w:cs="Arial"/>
          <w:color w:val="000000"/>
          <w:sz w:val="20"/>
          <w:szCs w:val="20"/>
        </w:rPr>
      </w:pPr>
      <w:r w:rsidRPr="00153039">
        <w:rPr>
          <w:rFonts w:ascii="Arial" w:hAnsi="Arial" w:cs="Arial"/>
          <w:color w:val="000000"/>
          <w:sz w:val="20"/>
          <w:szCs w:val="20"/>
        </w:rPr>
        <w:t>For more details, kindly refer:</w:t>
      </w:r>
    </w:p>
    <w:p w:rsidR="0044035A" w:rsidRDefault="00153039" w:rsidP="00955E5B">
      <w:pPr>
        <w:pStyle w:val="NormalWeb"/>
        <w:rPr>
          <w:rFonts w:ascii="Arial" w:hAnsi="Arial" w:cs="Arial"/>
          <w:color w:val="000000"/>
          <w:sz w:val="20"/>
          <w:szCs w:val="20"/>
        </w:rPr>
      </w:pPr>
      <w:hyperlink r:id="rId39" w:history="1">
        <w:r w:rsidRPr="00E71B8F">
          <w:rPr>
            <w:rStyle w:val="Hyperlink"/>
            <w:rFonts w:ascii="Arial" w:hAnsi="Arial" w:cs="Arial"/>
            <w:sz w:val="20"/>
            <w:szCs w:val="20"/>
          </w:rPr>
          <w:t>https://www.rbi.org.in/Scripts/NotificationUser.aspx?Id=12639&amp;Mode=0</w:t>
        </w:r>
      </w:hyperlink>
      <w:r>
        <w:rPr>
          <w:rFonts w:ascii="Arial" w:hAnsi="Arial" w:cs="Arial"/>
          <w:color w:val="000000"/>
          <w:sz w:val="20"/>
          <w:szCs w:val="20"/>
        </w:rPr>
        <w:t xml:space="preserve"> </w:t>
      </w:r>
    </w:p>
    <w:p w:rsidR="0044035A" w:rsidRDefault="0044035A" w:rsidP="0044035A">
      <w:pPr>
        <w:spacing w:before="100" w:beforeAutospacing="1" w:after="100" w:afterAutospacing="1" w:line="240" w:lineRule="auto"/>
        <w:jc w:val="center"/>
        <w:rPr>
          <w:rFonts w:ascii="Arial" w:eastAsia="Times New Roman" w:hAnsi="Arial" w:cs="Arial"/>
          <w:color w:val="000000"/>
          <w:sz w:val="20"/>
          <w:szCs w:val="20"/>
          <w:lang w:eastAsia="en-IN"/>
        </w:rPr>
      </w:pPr>
      <w:r w:rsidRPr="0044035A">
        <w:rPr>
          <w:rFonts w:ascii="Arial" w:eastAsia="Times New Roman" w:hAnsi="Arial" w:cs="Arial"/>
          <w:b/>
          <w:bCs/>
          <w:color w:val="000000"/>
          <w:sz w:val="20"/>
          <w:szCs w:val="20"/>
          <w:lang w:eastAsia="en-IN"/>
        </w:rPr>
        <w:lastRenderedPageBreak/>
        <w:t>Master Circular – Basel III Capital Regulations</w:t>
      </w:r>
    </w:p>
    <w:p w:rsidR="0044035A" w:rsidRPr="0044035A" w:rsidRDefault="0044035A" w:rsidP="0044035A">
      <w:pPr>
        <w:spacing w:before="100" w:beforeAutospacing="1" w:after="100" w:afterAutospacing="1" w:line="240" w:lineRule="auto"/>
        <w:jc w:val="both"/>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RBI/2024-25/08</w:t>
      </w:r>
      <w:r w:rsidRPr="0044035A">
        <w:rPr>
          <w:rFonts w:ascii="Arial" w:eastAsia="Times New Roman" w:hAnsi="Arial" w:cs="Arial"/>
          <w:color w:val="000000"/>
          <w:sz w:val="20"/>
          <w:szCs w:val="20"/>
          <w:lang w:eastAsia="en-IN"/>
        </w:rPr>
        <w:br/>
        <w:t>DOR.CAP.REC.4/21.06.201/2024-25</w:t>
      </w:r>
    </w:p>
    <w:p w:rsidR="0044035A" w:rsidRPr="0044035A" w:rsidRDefault="0044035A" w:rsidP="0044035A">
      <w:pPr>
        <w:spacing w:before="100" w:beforeAutospacing="1" w:after="100" w:afterAutospacing="1" w:line="240" w:lineRule="auto"/>
        <w:jc w:val="right"/>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April 01, 2024</w:t>
      </w:r>
    </w:p>
    <w:p w:rsidR="0044035A" w:rsidRPr="0044035A" w:rsidRDefault="0044035A" w:rsidP="0044035A">
      <w:pPr>
        <w:spacing w:before="100" w:beforeAutospacing="1" w:after="100" w:afterAutospacing="1" w:line="240" w:lineRule="auto"/>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 xml:space="preserve">All Scheduled Commercial </w:t>
      </w:r>
      <w:proofErr w:type="gramStart"/>
      <w:r w:rsidRPr="0044035A">
        <w:rPr>
          <w:rFonts w:ascii="Arial" w:eastAsia="Times New Roman" w:hAnsi="Arial" w:cs="Arial"/>
          <w:color w:val="000000"/>
          <w:sz w:val="20"/>
          <w:szCs w:val="20"/>
          <w:lang w:eastAsia="en-IN"/>
        </w:rPr>
        <w:t>Banks</w:t>
      </w:r>
      <w:proofErr w:type="gramEnd"/>
      <w:r w:rsidRPr="0044035A">
        <w:rPr>
          <w:rFonts w:ascii="Arial" w:eastAsia="Times New Roman" w:hAnsi="Arial" w:cs="Arial"/>
          <w:color w:val="000000"/>
          <w:sz w:val="20"/>
          <w:szCs w:val="20"/>
          <w:lang w:eastAsia="en-IN"/>
        </w:rPr>
        <w:br/>
        <w:t>(Excluding Small Finance Banks, Payments Banks</w:t>
      </w:r>
      <w:r w:rsidRPr="0044035A">
        <w:rPr>
          <w:rFonts w:ascii="Arial" w:eastAsia="Times New Roman" w:hAnsi="Arial" w:cs="Arial"/>
          <w:color w:val="000000"/>
          <w:sz w:val="20"/>
          <w:szCs w:val="20"/>
          <w:lang w:eastAsia="en-IN"/>
        </w:rPr>
        <w:br/>
        <w:t>and Regional Rural Banks)</w:t>
      </w:r>
    </w:p>
    <w:p w:rsidR="0044035A" w:rsidRPr="0044035A" w:rsidRDefault="0044035A" w:rsidP="0044035A">
      <w:pPr>
        <w:spacing w:before="100" w:beforeAutospacing="1" w:after="100" w:afterAutospacing="1" w:line="240" w:lineRule="auto"/>
        <w:jc w:val="both"/>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Madam / Dear Sir,</w:t>
      </w:r>
    </w:p>
    <w:p w:rsidR="0044035A" w:rsidRPr="0044035A" w:rsidRDefault="0044035A" w:rsidP="0044035A">
      <w:pPr>
        <w:spacing w:before="100" w:beforeAutospacing="1" w:after="100" w:afterAutospacing="1" w:line="240" w:lineRule="auto"/>
        <w:jc w:val="center"/>
        <w:rPr>
          <w:rFonts w:ascii="Arial" w:eastAsia="Times New Roman" w:hAnsi="Arial" w:cs="Arial"/>
          <w:color w:val="000000"/>
          <w:sz w:val="20"/>
          <w:szCs w:val="20"/>
          <w:lang w:eastAsia="en-IN"/>
        </w:rPr>
      </w:pPr>
      <w:r w:rsidRPr="0044035A">
        <w:rPr>
          <w:rFonts w:ascii="Arial" w:eastAsia="Times New Roman" w:hAnsi="Arial" w:cs="Arial"/>
          <w:b/>
          <w:bCs/>
          <w:color w:val="000000"/>
          <w:sz w:val="20"/>
          <w:szCs w:val="20"/>
          <w:lang w:eastAsia="en-IN"/>
        </w:rPr>
        <w:t>Master Circular – Basel III Capital Regulations</w:t>
      </w:r>
    </w:p>
    <w:p w:rsidR="0044035A" w:rsidRPr="0044035A" w:rsidRDefault="0044035A" w:rsidP="0044035A">
      <w:pPr>
        <w:spacing w:before="100" w:beforeAutospacing="1" w:after="100" w:afterAutospacing="1" w:line="240" w:lineRule="auto"/>
        <w:jc w:val="both"/>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Please refer to the </w:t>
      </w:r>
      <w:hyperlink r:id="rId40" w:tgtFrame="_blank" w:history="1">
        <w:r w:rsidRPr="0044035A">
          <w:rPr>
            <w:rFonts w:ascii="Arial" w:eastAsia="Times New Roman" w:hAnsi="Arial" w:cs="Arial"/>
            <w:color w:val="0000FF"/>
            <w:sz w:val="20"/>
            <w:szCs w:val="20"/>
            <w:u w:val="single"/>
            <w:lang w:eastAsia="en-IN"/>
          </w:rPr>
          <w:t>Master Circular No. DOR.CAP.REC.15/21.06.201/2023-24 dated May 12, 2023</w:t>
        </w:r>
      </w:hyperlink>
      <w:r w:rsidRPr="0044035A">
        <w:rPr>
          <w:rFonts w:ascii="Arial" w:eastAsia="Times New Roman" w:hAnsi="Arial" w:cs="Arial"/>
          <w:color w:val="000000"/>
          <w:sz w:val="20"/>
          <w:szCs w:val="20"/>
          <w:lang w:eastAsia="en-IN"/>
        </w:rPr>
        <w:t xml:space="preserve">, consolidating therein the prudential guidelines on Basel III capital adequacy issued to banks </w:t>
      </w:r>
      <w:proofErr w:type="gramStart"/>
      <w:r w:rsidRPr="0044035A">
        <w:rPr>
          <w:rFonts w:ascii="Arial" w:eastAsia="Times New Roman" w:hAnsi="Arial" w:cs="Arial"/>
          <w:color w:val="000000"/>
          <w:sz w:val="20"/>
          <w:szCs w:val="20"/>
          <w:lang w:eastAsia="en-IN"/>
        </w:rPr>
        <w:t>till</w:t>
      </w:r>
      <w:proofErr w:type="gramEnd"/>
      <w:r w:rsidRPr="0044035A">
        <w:rPr>
          <w:rFonts w:ascii="Arial" w:eastAsia="Times New Roman" w:hAnsi="Arial" w:cs="Arial"/>
          <w:color w:val="000000"/>
          <w:sz w:val="20"/>
          <w:szCs w:val="20"/>
          <w:lang w:eastAsia="en-IN"/>
        </w:rPr>
        <w:t xml:space="preserve"> that date.</w:t>
      </w:r>
    </w:p>
    <w:p w:rsidR="0044035A" w:rsidRPr="0044035A" w:rsidRDefault="0044035A" w:rsidP="0044035A">
      <w:pPr>
        <w:spacing w:before="100" w:beforeAutospacing="1" w:after="100" w:afterAutospacing="1" w:line="240" w:lineRule="auto"/>
        <w:jc w:val="both"/>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 xml:space="preserve">2. The instructions contained in the </w:t>
      </w:r>
      <w:proofErr w:type="gramStart"/>
      <w:r w:rsidRPr="0044035A">
        <w:rPr>
          <w:rFonts w:ascii="Arial" w:eastAsia="Times New Roman" w:hAnsi="Arial" w:cs="Arial"/>
          <w:color w:val="000000"/>
          <w:sz w:val="20"/>
          <w:szCs w:val="20"/>
          <w:lang w:eastAsia="en-IN"/>
        </w:rPr>
        <w:t>aforesaid</w:t>
      </w:r>
      <w:proofErr w:type="gramEnd"/>
      <w:r w:rsidRPr="0044035A">
        <w:rPr>
          <w:rFonts w:ascii="Arial" w:eastAsia="Times New Roman" w:hAnsi="Arial" w:cs="Arial"/>
          <w:color w:val="000000"/>
          <w:sz w:val="20"/>
          <w:szCs w:val="20"/>
          <w:lang w:eastAsia="en-IN"/>
        </w:rPr>
        <w:t> </w:t>
      </w:r>
      <w:hyperlink r:id="rId41" w:tgtFrame="_blank" w:history="1">
        <w:r w:rsidRPr="0044035A">
          <w:rPr>
            <w:rFonts w:ascii="Arial" w:eastAsia="Times New Roman" w:hAnsi="Arial" w:cs="Arial"/>
            <w:color w:val="0000FF"/>
            <w:sz w:val="20"/>
            <w:szCs w:val="20"/>
            <w:u w:val="single"/>
            <w:lang w:eastAsia="en-IN"/>
          </w:rPr>
          <w:t>Master Circular</w:t>
        </w:r>
      </w:hyperlink>
      <w:r w:rsidRPr="0044035A">
        <w:rPr>
          <w:rFonts w:ascii="Arial" w:eastAsia="Times New Roman" w:hAnsi="Arial" w:cs="Arial"/>
          <w:color w:val="000000"/>
          <w:sz w:val="20"/>
          <w:szCs w:val="20"/>
          <w:lang w:eastAsia="en-IN"/>
        </w:rPr>
        <w:t> have been suitably updated / amended by incorporating relevant guidelines, issued as on date. A list of circulars consolidated in this Master Circular is contained in Annex 26.</w:t>
      </w:r>
    </w:p>
    <w:p w:rsidR="0044035A" w:rsidRPr="0044035A" w:rsidRDefault="0044035A" w:rsidP="0044035A">
      <w:pPr>
        <w:spacing w:before="100" w:beforeAutospacing="1" w:after="100" w:afterAutospacing="1" w:line="240" w:lineRule="auto"/>
        <w:jc w:val="both"/>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3. Small Finance Banks and Payments Banks may refer to their respective licensing guidelines and operating guidelines issued by Reserve Bank, for prudential guidelines on capital adequacy.</w:t>
      </w:r>
    </w:p>
    <w:p w:rsidR="0044035A" w:rsidRPr="0044035A" w:rsidRDefault="0044035A" w:rsidP="0044035A">
      <w:pPr>
        <w:spacing w:before="100" w:beforeAutospacing="1" w:after="100" w:afterAutospacing="1" w:line="240" w:lineRule="auto"/>
        <w:jc w:val="both"/>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Yours faithfully,</w:t>
      </w:r>
    </w:p>
    <w:p w:rsidR="0044035A" w:rsidRDefault="0044035A" w:rsidP="0044035A">
      <w:pPr>
        <w:spacing w:before="100" w:beforeAutospacing="1" w:after="100" w:afterAutospacing="1" w:line="240" w:lineRule="auto"/>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 xml:space="preserve">(Usha </w:t>
      </w:r>
      <w:proofErr w:type="spellStart"/>
      <w:r w:rsidRPr="0044035A">
        <w:rPr>
          <w:rFonts w:ascii="Arial" w:eastAsia="Times New Roman" w:hAnsi="Arial" w:cs="Arial"/>
          <w:color w:val="000000"/>
          <w:sz w:val="20"/>
          <w:szCs w:val="20"/>
          <w:lang w:eastAsia="en-IN"/>
        </w:rPr>
        <w:t>Janakiraman</w:t>
      </w:r>
      <w:proofErr w:type="spellEnd"/>
      <w:r w:rsidRPr="0044035A">
        <w:rPr>
          <w:rFonts w:ascii="Arial" w:eastAsia="Times New Roman" w:hAnsi="Arial" w:cs="Arial"/>
          <w:color w:val="000000"/>
          <w:sz w:val="20"/>
          <w:szCs w:val="20"/>
          <w:lang w:eastAsia="en-IN"/>
        </w:rPr>
        <w:t>)</w:t>
      </w:r>
      <w:r w:rsidRPr="0044035A">
        <w:rPr>
          <w:rFonts w:ascii="Arial" w:eastAsia="Times New Roman" w:hAnsi="Arial" w:cs="Arial"/>
          <w:color w:val="000000"/>
          <w:sz w:val="20"/>
          <w:szCs w:val="20"/>
          <w:lang w:eastAsia="en-IN"/>
        </w:rPr>
        <w:br/>
        <w:t>Chief General Manager</w:t>
      </w:r>
    </w:p>
    <w:p w:rsidR="0044035A" w:rsidRDefault="0044035A" w:rsidP="0044035A">
      <w:pPr>
        <w:spacing w:before="100" w:beforeAutospacing="1" w:after="100" w:afterAutospacing="1" w:line="240" w:lineRule="auto"/>
        <w:rPr>
          <w:rFonts w:ascii="Arial" w:eastAsia="Times New Roman" w:hAnsi="Arial" w:cs="Arial"/>
          <w:color w:val="000000"/>
          <w:sz w:val="20"/>
          <w:szCs w:val="20"/>
          <w:lang w:eastAsia="en-IN"/>
        </w:rPr>
      </w:pPr>
      <w:r w:rsidRPr="0044035A">
        <w:rPr>
          <w:rFonts w:ascii="Arial" w:eastAsia="Times New Roman" w:hAnsi="Arial" w:cs="Arial"/>
          <w:color w:val="000000"/>
          <w:sz w:val="20"/>
          <w:szCs w:val="20"/>
          <w:lang w:eastAsia="en-IN"/>
        </w:rPr>
        <w:t>For more details, kindly refer:</w:t>
      </w:r>
    </w:p>
    <w:p w:rsidR="0044035A" w:rsidRPr="0044035A" w:rsidRDefault="0044035A" w:rsidP="0044035A">
      <w:pPr>
        <w:spacing w:before="100" w:beforeAutospacing="1" w:after="100" w:afterAutospacing="1" w:line="240" w:lineRule="auto"/>
        <w:rPr>
          <w:rFonts w:ascii="Arial" w:eastAsia="Times New Roman" w:hAnsi="Arial" w:cs="Arial"/>
          <w:color w:val="000000"/>
          <w:sz w:val="20"/>
          <w:szCs w:val="20"/>
          <w:lang w:eastAsia="en-IN"/>
        </w:rPr>
      </w:pPr>
      <w:hyperlink r:id="rId42" w:history="1">
        <w:r w:rsidRPr="00E71B8F">
          <w:rPr>
            <w:rStyle w:val="Hyperlink"/>
            <w:rFonts w:ascii="Arial" w:eastAsia="Times New Roman" w:hAnsi="Arial" w:cs="Arial"/>
            <w:sz w:val="20"/>
            <w:szCs w:val="20"/>
            <w:lang w:eastAsia="en-IN"/>
          </w:rPr>
          <w:t>https://www.rbi.org.in/Scripts/NotificationUser.aspx?Id=12652&amp;Mode=0</w:t>
        </w:r>
      </w:hyperlink>
      <w:r>
        <w:rPr>
          <w:rFonts w:ascii="Arial" w:eastAsia="Times New Roman" w:hAnsi="Arial" w:cs="Arial"/>
          <w:color w:val="000000"/>
          <w:sz w:val="20"/>
          <w:szCs w:val="20"/>
          <w:lang w:eastAsia="en-IN"/>
        </w:rPr>
        <w:t xml:space="preserve"> </w:t>
      </w:r>
    </w:p>
    <w:p w:rsidR="0044035A" w:rsidRDefault="0044035A" w:rsidP="00955E5B">
      <w:pPr>
        <w:pStyle w:val="NormalWeb"/>
        <w:rPr>
          <w:rFonts w:ascii="Arial" w:hAnsi="Arial" w:cs="Arial"/>
          <w:color w:val="000000"/>
          <w:sz w:val="20"/>
          <w:szCs w:val="20"/>
        </w:rPr>
      </w:pPr>
    </w:p>
    <w:p w:rsidR="00955E5B" w:rsidRDefault="00955E5B"/>
    <w:p w:rsidR="00E14A0B" w:rsidRDefault="00E14A0B"/>
    <w:p w:rsidR="00E14A0B" w:rsidRDefault="00E14A0B"/>
    <w:p w:rsidR="00E14A0B" w:rsidRDefault="00E14A0B"/>
    <w:p w:rsidR="00E14A0B" w:rsidRDefault="00E14A0B"/>
    <w:p w:rsidR="00E14A0B" w:rsidRDefault="00E14A0B"/>
    <w:p w:rsidR="00E14A0B" w:rsidRDefault="00E14A0B"/>
    <w:p w:rsidR="00E14A0B" w:rsidRDefault="00E14A0B"/>
    <w:p w:rsidR="00E14A0B" w:rsidRDefault="00E14A0B"/>
    <w:p w:rsidR="00E14A0B" w:rsidRDefault="00E14A0B"/>
    <w:p w:rsidR="00E14A0B" w:rsidRPr="00E14A0B" w:rsidRDefault="00E14A0B" w:rsidP="00E14A0B">
      <w:pPr>
        <w:spacing w:before="100" w:beforeAutospacing="1" w:after="100" w:afterAutospacing="1" w:line="240" w:lineRule="auto"/>
        <w:jc w:val="both"/>
        <w:rPr>
          <w:rFonts w:ascii="Arial" w:eastAsia="Times New Roman" w:hAnsi="Arial" w:cs="Arial"/>
          <w:b/>
          <w:bCs/>
          <w:color w:val="000000"/>
          <w:sz w:val="20"/>
          <w:szCs w:val="20"/>
          <w:lang w:eastAsia="en-IN"/>
        </w:rPr>
      </w:pPr>
      <w:r w:rsidRPr="00E14A0B">
        <w:rPr>
          <w:rFonts w:ascii="Arial" w:eastAsia="Times New Roman" w:hAnsi="Arial" w:cs="Arial"/>
          <w:b/>
          <w:bCs/>
          <w:color w:val="000000"/>
          <w:sz w:val="20"/>
          <w:szCs w:val="20"/>
          <w:lang w:eastAsia="en-IN"/>
        </w:rPr>
        <w:lastRenderedPageBreak/>
        <w:t xml:space="preserve">Master Circular - Prudential norms on Income Recognition, Asset Classification and </w:t>
      </w:r>
      <w:proofErr w:type="gramStart"/>
      <w:r w:rsidRPr="00E14A0B">
        <w:rPr>
          <w:rFonts w:ascii="Arial" w:eastAsia="Times New Roman" w:hAnsi="Arial" w:cs="Arial"/>
          <w:b/>
          <w:bCs/>
          <w:color w:val="000000"/>
          <w:sz w:val="20"/>
          <w:szCs w:val="20"/>
          <w:lang w:eastAsia="en-IN"/>
        </w:rPr>
        <w:t>Provisioning</w:t>
      </w:r>
      <w:proofErr w:type="gramEnd"/>
      <w:r w:rsidRPr="00E14A0B">
        <w:rPr>
          <w:rFonts w:ascii="Arial" w:eastAsia="Times New Roman" w:hAnsi="Arial" w:cs="Arial"/>
          <w:b/>
          <w:bCs/>
          <w:color w:val="000000"/>
          <w:sz w:val="20"/>
          <w:szCs w:val="20"/>
          <w:lang w:eastAsia="en-IN"/>
        </w:rPr>
        <w:t xml:space="preserve"> pertaining to Advances</w:t>
      </w:r>
    </w:p>
    <w:p w:rsidR="00E14A0B" w:rsidRPr="00E14A0B" w:rsidRDefault="00E14A0B" w:rsidP="00E14A0B">
      <w:pPr>
        <w:spacing w:before="100" w:beforeAutospacing="1" w:after="100" w:afterAutospacing="1" w:line="240" w:lineRule="auto"/>
        <w:jc w:val="both"/>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RBI/2024-25/12</w:t>
      </w:r>
      <w:r w:rsidRPr="00E14A0B">
        <w:rPr>
          <w:rFonts w:ascii="Arial" w:eastAsia="Times New Roman" w:hAnsi="Arial" w:cs="Arial"/>
          <w:color w:val="000000"/>
          <w:sz w:val="20"/>
          <w:szCs w:val="20"/>
          <w:lang w:eastAsia="en-IN"/>
        </w:rPr>
        <w:br/>
        <w:t>DOR.STR.REC.8/21.04.048/2024-25</w:t>
      </w:r>
    </w:p>
    <w:p w:rsidR="00E14A0B" w:rsidRPr="00E14A0B" w:rsidRDefault="00E14A0B" w:rsidP="00E14A0B">
      <w:pPr>
        <w:spacing w:before="100" w:beforeAutospacing="1" w:after="100" w:afterAutospacing="1" w:line="240" w:lineRule="auto"/>
        <w:jc w:val="right"/>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April 02, 2024</w:t>
      </w:r>
    </w:p>
    <w:p w:rsidR="00E14A0B" w:rsidRPr="00E14A0B" w:rsidRDefault="00E14A0B" w:rsidP="00E14A0B">
      <w:pPr>
        <w:spacing w:before="100" w:beforeAutospacing="1" w:after="100" w:afterAutospacing="1" w:line="240" w:lineRule="auto"/>
        <w:jc w:val="both"/>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All Commercial Banks (excluding RRBs)</w:t>
      </w:r>
    </w:p>
    <w:p w:rsidR="00E14A0B" w:rsidRPr="00E14A0B" w:rsidRDefault="00E14A0B" w:rsidP="00E14A0B">
      <w:pPr>
        <w:spacing w:before="100" w:beforeAutospacing="1" w:after="100" w:afterAutospacing="1" w:line="240" w:lineRule="auto"/>
        <w:jc w:val="both"/>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Madam/Dear Sir</w:t>
      </w:r>
    </w:p>
    <w:p w:rsidR="00E14A0B" w:rsidRPr="00E14A0B" w:rsidRDefault="00E14A0B" w:rsidP="00E14A0B">
      <w:pPr>
        <w:spacing w:before="100" w:beforeAutospacing="1" w:after="100" w:afterAutospacing="1" w:line="240" w:lineRule="auto"/>
        <w:jc w:val="both"/>
        <w:rPr>
          <w:rFonts w:ascii="Arial" w:eastAsia="Times New Roman" w:hAnsi="Arial" w:cs="Arial"/>
          <w:b/>
          <w:bCs/>
          <w:color w:val="000000"/>
          <w:sz w:val="20"/>
          <w:szCs w:val="20"/>
          <w:lang w:eastAsia="en-IN"/>
        </w:rPr>
      </w:pPr>
      <w:r w:rsidRPr="00E14A0B">
        <w:rPr>
          <w:rFonts w:ascii="Arial" w:eastAsia="Times New Roman" w:hAnsi="Arial" w:cs="Arial"/>
          <w:b/>
          <w:bCs/>
          <w:color w:val="000000"/>
          <w:sz w:val="20"/>
          <w:szCs w:val="20"/>
          <w:lang w:eastAsia="en-IN"/>
        </w:rPr>
        <w:t xml:space="preserve">Master Circular - Prudential norms on Income Recognition, Asset Classification and </w:t>
      </w:r>
      <w:proofErr w:type="gramStart"/>
      <w:r w:rsidRPr="00E14A0B">
        <w:rPr>
          <w:rFonts w:ascii="Arial" w:eastAsia="Times New Roman" w:hAnsi="Arial" w:cs="Arial"/>
          <w:b/>
          <w:bCs/>
          <w:color w:val="000000"/>
          <w:sz w:val="20"/>
          <w:szCs w:val="20"/>
          <w:lang w:eastAsia="en-IN"/>
        </w:rPr>
        <w:t>Provisioning</w:t>
      </w:r>
      <w:proofErr w:type="gramEnd"/>
      <w:r w:rsidRPr="00E14A0B">
        <w:rPr>
          <w:rFonts w:ascii="Arial" w:eastAsia="Times New Roman" w:hAnsi="Arial" w:cs="Arial"/>
          <w:b/>
          <w:bCs/>
          <w:color w:val="000000"/>
          <w:sz w:val="20"/>
          <w:szCs w:val="20"/>
          <w:lang w:eastAsia="en-IN"/>
        </w:rPr>
        <w:t xml:space="preserve"> pertaining to Advances</w:t>
      </w:r>
    </w:p>
    <w:p w:rsidR="00E14A0B" w:rsidRPr="00E14A0B" w:rsidRDefault="00E14A0B" w:rsidP="00E14A0B">
      <w:pPr>
        <w:spacing w:before="100" w:beforeAutospacing="1" w:after="100" w:afterAutospacing="1" w:line="240" w:lineRule="auto"/>
        <w:jc w:val="both"/>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Please refer to the </w:t>
      </w:r>
      <w:hyperlink r:id="rId43" w:tgtFrame="_blank" w:history="1">
        <w:r w:rsidRPr="00E14A0B">
          <w:rPr>
            <w:rFonts w:ascii="Arial" w:eastAsia="Times New Roman" w:hAnsi="Arial" w:cs="Arial"/>
            <w:color w:val="0000FF"/>
            <w:sz w:val="20"/>
            <w:szCs w:val="20"/>
            <w:u w:val="single"/>
            <w:lang w:eastAsia="en-IN"/>
          </w:rPr>
          <w:t>Master Circular DOR.STR.REC.3/21.04.048/2023-24 dated April 1, 2023</w:t>
        </w:r>
      </w:hyperlink>
      <w:r w:rsidRPr="00E14A0B">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E14A0B" w:rsidRPr="00E14A0B" w:rsidRDefault="00E14A0B" w:rsidP="00E14A0B">
      <w:pPr>
        <w:spacing w:before="100" w:beforeAutospacing="1" w:after="100" w:afterAutospacing="1" w:line="240" w:lineRule="auto"/>
        <w:jc w:val="both"/>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2. Attached is the revised </w:t>
      </w:r>
      <w:hyperlink r:id="rId44" w:anchor="MC" w:history="1">
        <w:r w:rsidRPr="00E14A0B">
          <w:rPr>
            <w:rFonts w:ascii="Arial" w:eastAsia="Times New Roman" w:hAnsi="Arial" w:cs="Arial"/>
            <w:color w:val="0000FF"/>
            <w:sz w:val="20"/>
            <w:szCs w:val="20"/>
            <w:u w:val="single"/>
            <w:lang w:eastAsia="en-IN"/>
          </w:rPr>
          <w:t>Master Circular</w:t>
        </w:r>
      </w:hyperlink>
      <w:r w:rsidRPr="00E14A0B">
        <w:rPr>
          <w:rFonts w:ascii="Arial" w:eastAsia="Times New Roman" w:hAnsi="Arial" w:cs="Arial"/>
          <w:color w:val="000000"/>
          <w:sz w:val="20"/>
          <w:szCs w:val="20"/>
          <w:lang w:eastAsia="en-IN"/>
        </w:rPr>
        <w:t xml:space="preserve">, updated to reflect all instructions issued </w:t>
      </w:r>
      <w:proofErr w:type="spellStart"/>
      <w:r w:rsidRPr="00E14A0B">
        <w:rPr>
          <w:rFonts w:ascii="Arial" w:eastAsia="Times New Roman" w:hAnsi="Arial" w:cs="Arial"/>
          <w:color w:val="000000"/>
          <w:sz w:val="20"/>
          <w:szCs w:val="20"/>
          <w:lang w:eastAsia="en-IN"/>
        </w:rPr>
        <w:t>upto</w:t>
      </w:r>
      <w:proofErr w:type="spellEnd"/>
      <w:r w:rsidRPr="00E14A0B">
        <w:rPr>
          <w:rFonts w:ascii="Arial" w:eastAsia="Times New Roman" w:hAnsi="Arial" w:cs="Arial"/>
          <w:color w:val="000000"/>
          <w:sz w:val="20"/>
          <w:szCs w:val="20"/>
          <w:lang w:eastAsia="en-IN"/>
        </w:rPr>
        <w:t xml:space="preserve"> March 31, 2024 on the above matter, as listed in </w:t>
      </w:r>
      <w:hyperlink r:id="rId45" w:anchor="ANN5" w:history="1">
        <w:r w:rsidRPr="00E14A0B">
          <w:rPr>
            <w:rFonts w:ascii="Arial" w:eastAsia="Times New Roman" w:hAnsi="Arial" w:cs="Arial"/>
            <w:color w:val="0000FF"/>
            <w:sz w:val="20"/>
            <w:szCs w:val="20"/>
            <w:u w:val="single"/>
            <w:lang w:eastAsia="en-IN"/>
          </w:rPr>
          <w:t>Annex 5</w:t>
        </w:r>
      </w:hyperlink>
      <w:r w:rsidRPr="00E14A0B">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E14A0B" w:rsidRPr="00E14A0B" w:rsidRDefault="00E14A0B" w:rsidP="00E14A0B">
      <w:pPr>
        <w:spacing w:before="100" w:beforeAutospacing="1" w:after="100" w:afterAutospacing="1" w:line="240" w:lineRule="auto"/>
        <w:jc w:val="both"/>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Yours faithfully</w:t>
      </w:r>
    </w:p>
    <w:p w:rsidR="00E14A0B" w:rsidRPr="00E14A0B" w:rsidRDefault="00E14A0B" w:rsidP="00E14A0B">
      <w:pPr>
        <w:spacing w:before="100" w:beforeAutospacing="1" w:after="100" w:afterAutospacing="1" w:line="240" w:lineRule="auto"/>
        <w:rPr>
          <w:rFonts w:ascii="Arial" w:eastAsia="Times New Roman" w:hAnsi="Arial" w:cs="Arial"/>
          <w:color w:val="000000"/>
          <w:sz w:val="20"/>
          <w:szCs w:val="20"/>
          <w:lang w:eastAsia="en-IN"/>
        </w:rPr>
      </w:pPr>
      <w:r w:rsidRPr="00E14A0B">
        <w:rPr>
          <w:rFonts w:ascii="Arial" w:eastAsia="Times New Roman" w:hAnsi="Arial" w:cs="Arial"/>
          <w:color w:val="000000"/>
          <w:sz w:val="20"/>
          <w:szCs w:val="20"/>
          <w:lang w:eastAsia="en-IN"/>
        </w:rPr>
        <w:t>(</w:t>
      </w:r>
      <w:proofErr w:type="spellStart"/>
      <w:r w:rsidRPr="00E14A0B">
        <w:rPr>
          <w:rFonts w:ascii="Arial" w:eastAsia="Times New Roman" w:hAnsi="Arial" w:cs="Arial"/>
          <w:color w:val="000000"/>
          <w:sz w:val="20"/>
          <w:szCs w:val="20"/>
          <w:lang w:eastAsia="en-IN"/>
        </w:rPr>
        <w:t>Vaibhav</w:t>
      </w:r>
      <w:proofErr w:type="spellEnd"/>
      <w:r w:rsidRPr="00E14A0B">
        <w:rPr>
          <w:rFonts w:ascii="Arial" w:eastAsia="Times New Roman" w:hAnsi="Arial" w:cs="Arial"/>
          <w:color w:val="000000"/>
          <w:sz w:val="20"/>
          <w:szCs w:val="20"/>
          <w:lang w:eastAsia="en-IN"/>
        </w:rPr>
        <w:t xml:space="preserve"> </w:t>
      </w:r>
      <w:proofErr w:type="spellStart"/>
      <w:r w:rsidRPr="00E14A0B">
        <w:rPr>
          <w:rFonts w:ascii="Arial" w:eastAsia="Times New Roman" w:hAnsi="Arial" w:cs="Arial"/>
          <w:color w:val="000000"/>
          <w:sz w:val="20"/>
          <w:szCs w:val="20"/>
          <w:lang w:eastAsia="en-IN"/>
        </w:rPr>
        <w:t>Chaturvedi</w:t>
      </w:r>
      <w:proofErr w:type="spellEnd"/>
      <w:r w:rsidRPr="00E14A0B">
        <w:rPr>
          <w:rFonts w:ascii="Arial" w:eastAsia="Times New Roman" w:hAnsi="Arial" w:cs="Arial"/>
          <w:color w:val="000000"/>
          <w:sz w:val="20"/>
          <w:szCs w:val="20"/>
          <w:lang w:eastAsia="en-IN"/>
        </w:rPr>
        <w:t>)</w:t>
      </w:r>
      <w:r w:rsidRPr="00E14A0B">
        <w:rPr>
          <w:rFonts w:ascii="Arial" w:eastAsia="Times New Roman" w:hAnsi="Arial" w:cs="Arial"/>
          <w:color w:val="000000"/>
          <w:sz w:val="20"/>
          <w:szCs w:val="20"/>
          <w:lang w:eastAsia="en-IN"/>
        </w:rPr>
        <w:br/>
        <w:t>Chief General Manager</w:t>
      </w:r>
    </w:p>
    <w:p w:rsidR="00E14A0B" w:rsidRDefault="00E14A0B">
      <w:r w:rsidRPr="00E14A0B">
        <w:t>For more details, kindly refer:</w:t>
      </w:r>
    </w:p>
    <w:p w:rsidR="00E14A0B" w:rsidRDefault="00E14A0B">
      <w:hyperlink r:id="rId46" w:history="1">
        <w:r w:rsidRPr="00E71B8F">
          <w:rPr>
            <w:rStyle w:val="Hyperlink"/>
          </w:rPr>
          <w:t>https://www.rbi.org.in/Scripts/NotificationUser.aspx?Id=12657&amp;Mode=0</w:t>
        </w:r>
      </w:hyperlink>
      <w:r>
        <w:t xml:space="preserve"> </w:t>
      </w:r>
    </w:p>
    <w:p w:rsidR="00E14A0B" w:rsidRDefault="00E14A0B"/>
    <w:p w:rsidR="00D65503" w:rsidRDefault="00D65503"/>
    <w:p w:rsidR="00D65503" w:rsidRDefault="00D65503"/>
    <w:p w:rsidR="00D65503" w:rsidRDefault="00D65503"/>
    <w:p w:rsidR="00D65503" w:rsidRDefault="00D65503"/>
    <w:p w:rsidR="00D65503" w:rsidRDefault="00D65503"/>
    <w:p w:rsidR="00D65503" w:rsidRDefault="00D65503"/>
    <w:p w:rsidR="00D65503" w:rsidRDefault="00D65503"/>
    <w:p w:rsidR="00D65503" w:rsidRDefault="00D65503"/>
    <w:p w:rsidR="00D65503" w:rsidRDefault="00D65503"/>
    <w:p w:rsidR="00D65503" w:rsidRDefault="00D65503"/>
    <w:p w:rsidR="00D65503" w:rsidRDefault="00D65503"/>
    <w:p w:rsidR="00D65503" w:rsidRDefault="00D65503"/>
    <w:p w:rsidR="00D65503" w:rsidRPr="00D65503" w:rsidRDefault="00D65503" w:rsidP="00D65503">
      <w:pPr>
        <w:spacing w:before="100" w:beforeAutospacing="1" w:after="100" w:afterAutospacing="1" w:line="240" w:lineRule="auto"/>
        <w:jc w:val="center"/>
        <w:rPr>
          <w:rFonts w:ascii="Arial" w:eastAsia="Times New Roman" w:hAnsi="Arial" w:cs="Arial"/>
          <w:b/>
          <w:bCs/>
          <w:color w:val="000000"/>
          <w:sz w:val="20"/>
          <w:szCs w:val="20"/>
          <w:lang w:eastAsia="en-IN"/>
        </w:rPr>
      </w:pPr>
      <w:r w:rsidRPr="00D65503">
        <w:rPr>
          <w:rFonts w:ascii="Arial" w:eastAsia="Times New Roman" w:hAnsi="Arial" w:cs="Arial"/>
          <w:b/>
          <w:bCs/>
          <w:color w:val="000000"/>
          <w:sz w:val="20"/>
          <w:szCs w:val="20"/>
          <w:lang w:eastAsia="en-IN"/>
        </w:rPr>
        <w:lastRenderedPageBreak/>
        <w:t>Hedging of Gold Price Risk in Overseas Markets</w:t>
      </w:r>
    </w:p>
    <w:p w:rsidR="00D65503" w:rsidRPr="00D65503" w:rsidRDefault="00D65503" w:rsidP="00D65503">
      <w:pPr>
        <w:spacing w:before="100" w:beforeAutospacing="1" w:after="100" w:afterAutospacing="1" w:line="240" w:lineRule="auto"/>
        <w:jc w:val="both"/>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RBI/2024-25/17</w:t>
      </w:r>
      <w:r w:rsidRPr="00D65503">
        <w:rPr>
          <w:rFonts w:ascii="Arial" w:eastAsia="Times New Roman" w:hAnsi="Arial" w:cs="Arial"/>
          <w:color w:val="000000"/>
          <w:sz w:val="20"/>
          <w:szCs w:val="20"/>
          <w:lang w:eastAsia="en-IN"/>
        </w:rPr>
        <w:br/>
        <w:t>A. P. (DIR Series) Circular No. 01</w:t>
      </w:r>
    </w:p>
    <w:p w:rsidR="00D65503" w:rsidRPr="00D65503" w:rsidRDefault="00D65503" w:rsidP="00D65503">
      <w:pPr>
        <w:spacing w:before="100" w:beforeAutospacing="1" w:after="100" w:afterAutospacing="1" w:line="240" w:lineRule="auto"/>
        <w:jc w:val="right"/>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April 15, 2024</w:t>
      </w:r>
    </w:p>
    <w:p w:rsidR="00D65503" w:rsidRPr="00D65503" w:rsidRDefault="00D65503" w:rsidP="00D65503">
      <w:pPr>
        <w:spacing w:before="100" w:beforeAutospacing="1" w:after="100" w:afterAutospacing="1" w:line="240" w:lineRule="auto"/>
        <w:jc w:val="both"/>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All Authorised Dealer Category – I Banks</w:t>
      </w:r>
    </w:p>
    <w:p w:rsidR="00D65503" w:rsidRPr="00D65503" w:rsidRDefault="00D65503" w:rsidP="00D65503">
      <w:pPr>
        <w:spacing w:before="100" w:beforeAutospacing="1" w:after="100" w:afterAutospacing="1" w:line="240" w:lineRule="auto"/>
        <w:jc w:val="both"/>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Madam / Sir,</w:t>
      </w:r>
    </w:p>
    <w:p w:rsidR="00D65503" w:rsidRPr="00D65503" w:rsidRDefault="00D65503" w:rsidP="00D65503">
      <w:pPr>
        <w:spacing w:before="100" w:beforeAutospacing="1" w:after="100" w:afterAutospacing="1" w:line="240" w:lineRule="auto"/>
        <w:jc w:val="center"/>
        <w:rPr>
          <w:rFonts w:ascii="Arial" w:eastAsia="Times New Roman" w:hAnsi="Arial" w:cs="Arial"/>
          <w:b/>
          <w:bCs/>
          <w:color w:val="000000"/>
          <w:sz w:val="20"/>
          <w:szCs w:val="20"/>
          <w:lang w:eastAsia="en-IN"/>
        </w:rPr>
      </w:pPr>
      <w:r w:rsidRPr="00D65503">
        <w:rPr>
          <w:rFonts w:ascii="Arial" w:eastAsia="Times New Roman" w:hAnsi="Arial" w:cs="Arial"/>
          <w:b/>
          <w:bCs/>
          <w:color w:val="000000"/>
          <w:sz w:val="20"/>
          <w:szCs w:val="20"/>
          <w:lang w:eastAsia="en-IN"/>
        </w:rPr>
        <w:t>Hedging of Gold Price Risk in Overseas Markets</w:t>
      </w:r>
    </w:p>
    <w:p w:rsidR="00D65503" w:rsidRPr="00D65503" w:rsidRDefault="00D65503" w:rsidP="00D65503">
      <w:pPr>
        <w:spacing w:before="100" w:beforeAutospacing="1" w:after="100" w:afterAutospacing="1" w:line="240" w:lineRule="auto"/>
        <w:jc w:val="both"/>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Please refer to Paragraph 2 of the </w:t>
      </w:r>
      <w:hyperlink r:id="rId47" w:tgtFrame="_blank" w:history="1">
        <w:r w:rsidRPr="00D65503">
          <w:rPr>
            <w:rFonts w:ascii="Arial" w:eastAsia="Times New Roman" w:hAnsi="Arial" w:cs="Arial"/>
            <w:color w:val="0000FF"/>
            <w:sz w:val="20"/>
            <w:szCs w:val="20"/>
            <w:u w:val="single"/>
            <w:lang w:eastAsia="en-IN"/>
          </w:rPr>
          <w:t>Statement on Developmental and Regulatory Policies</w:t>
        </w:r>
      </w:hyperlink>
      <w:r w:rsidRPr="00D65503">
        <w:rPr>
          <w:rFonts w:ascii="Arial" w:eastAsia="Times New Roman" w:hAnsi="Arial" w:cs="Arial"/>
          <w:color w:val="000000"/>
          <w:sz w:val="20"/>
          <w:szCs w:val="20"/>
          <w:lang w:eastAsia="en-IN"/>
        </w:rPr>
        <w:t> announced as a part of the </w:t>
      </w:r>
      <w:hyperlink r:id="rId48" w:tgtFrame="_blank" w:history="1">
        <w:r w:rsidRPr="00D65503">
          <w:rPr>
            <w:rFonts w:ascii="Arial" w:eastAsia="Times New Roman" w:hAnsi="Arial" w:cs="Arial"/>
            <w:color w:val="0000FF"/>
            <w:sz w:val="20"/>
            <w:szCs w:val="20"/>
            <w:u w:val="single"/>
            <w:lang w:eastAsia="en-IN"/>
          </w:rPr>
          <w:t>Bi-monthly Monetary Policy Statement for 2023-24 dated February 08, 2024</w:t>
        </w:r>
      </w:hyperlink>
      <w:r w:rsidRPr="00D65503">
        <w:rPr>
          <w:rFonts w:ascii="Arial" w:eastAsia="Times New Roman" w:hAnsi="Arial" w:cs="Arial"/>
          <w:color w:val="000000"/>
          <w:sz w:val="20"/>
          <w:szCs w:val="20"/>
          <w:lang w:eastAsia="en-IN"/>
        </w:rPr>
        <w:t xml:space="preserve">, regarding hedging of price risk of gold in overseas markets. Attention </w:t>
      </w:r>
      <w:proofErr w:type="gramStart"/>
      <w:r w:rsidRPr="00D65503">
        <w:rPr>
          <w:rFonts w:ascii="Arial" w:eastAsia="Times New Roman" w:hAnsi="Arial" w:cs="Arial"/>
          <w:color w:val="000000"/>
          <w:sz w:val="20"/>
          <w:szCs w:val="20"/>
          <w:lang w:eastAsia="en-IN"/>
        </w:rPr>
        <w:t>is also invited</w:t>
      </w:r>
      <w:proofErr w:type="gramEnd"/>
      <w:r w:rsidRPr="00D65503">
        <w:rPr>
          <w:rFonts w:ascii="Arial" w:eastAsia="Times New Roman" w:hAnsi="Arial" w:cs="Arial"/>
          <w:color w:val="000000"/>
          <w:sz w:val="20"/>
          <w:szCs w:val="20"/>
          <w:lang w:eastAsia="en-IN"/>
        </w:rPr>
        <w:t xml:space="preserve"> to the </w:t>
      </w:r>
      <w:hyperlink r:id="rId49" w:tgtFrame="_blank" w:history="1">
        <w:r w:rsidRPr="00D65503">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D65503">
        <w:rPr>
          <w:rFonts w:ascii="Arial" w:eastAsia="Times New Roman" w:hAnsi="Arial" w:cs="Arial"/>
          <w:color w:val="000000"/>
          <w:sz w:val="20"/>
          <w:szCs w:val="20"/>
          <w:lang w:eastAsia="en-IN"/>
        </w:rPr>
        <w:t>.</w:t>
      </w:r>
    </w:p>
    <w:p w:rsidR="00D65503" w:rsidRPr="00D65503" w:rsidRDefault="00D65503" w:rsidP="00D65503">
      <w:pPr>
        <w:spacing w:before="100" w:beforeAutospacing="1" w:after="100" w:afterAutospacing="1" w:line="240" w:lineRule="auto"/>
        <w:jc w:val="both"/>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50" w:tgtFrame="_blank" w:history="1">
        <w:r w:rsidRPr="00D65503">
          <w:rPr>
            <w:rFonts w:ascii="Arial" w:eastAsia="Times New Roman" w:hAnsi="Arial" w:cs="Arial"/>
            <w:color w:val="0000FF"/>
            <w:sz w:val="20"/>
            <w:szCs w:val="20"/>
            <w:u w:val="single"/>
            <w:lang w:eastAsia="en-IN"/>
          </w:rPr>
          <w:t>A. P. (DIR Series) Circular No. 19 dated December 12, 2022</w:t>
        </w:r>
      </w:hyperlink>
      <w:r w:rsidRPr="00D65503">
        <w:rPr>
          <w:rFonts w:ascii="Arial" w:eastAsia="Times New Roman" w:hAnsi="Arial" w:cs="Arial"/>
          <w:color w:val="000000"/>
          <w:sz w:val="20"/>
          <w:szCs w:val="20"/>
          <w:lang w:eastAsia="en-IN"/>
        </w:rPr>
        <w:t xml:space="preserve">. </w:t>
      </w:r>
      <w:proofErr w:type="gramStart"/>
      <w:r w:rsidRPr="00D65503">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51" w:tgtFrame="_blank" w:history="1">
        <w:r w:rsidRPr="00D65503">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D65503">
        <w:rPr>
          <w:rFonts w:ascii="Arial" w:eastAsia="Times New Roman" w:hAnsi="Arial" w:cs="Arial"/>
          <w:color w:val="000000"/>
          <w:sz w:val="20"/>
          <w:szCs w:val="20"/>
          <w:lang w:eastAsia="en-IN"/>
        </w:rPr>
        <w:t>, as amended from time to time.</w:t>
      </w:r>
      <w:proofErr w:type="gramEnd"/>
    </w:p>
    <w:p w:rsidR="00D65503" w:rsidRPr="00D65503" w:rsidRDefault="00D65503" w:rsidP="00D65503">
      <w:pPr>
        <w:spacing w:before="100" w:beforeAutospacing="1" w:after="100" w:afterAutospacing="1" w:line="240" w:lineRule="auto"/>
        <w:jc w:val="both"/>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3. These instructions shall be applicable with immediate effect. The </w:t>
      </w:r>
      <w:hyperlink r:id="rId52" w:tgtFrame="_blank" w:history="1">
        <w:r w:rsidRPr="00D65503">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D65503">
        <w:rPr>
          <w:rFonts w:ascii="Arial" w:eastAsia="Times New Roman" w:hAnsi="Arial" w:cs="Arial"/>
          <w:color w:val="000000"/>
          <w:sz w:val="20"/>
          <w:szCs w:val="20"/>
          <w:lang w:eastAsia="en-IN"/>
        </w:rPr>
        <w:t> </w:t>
      </w:r>
      <w:proofErr w:type="gramStart"/>
      <w:r w:rsidRPr="00D65503">
        <w:rPr>
          <w:rFonts w:ascii="Arial" w:eastAsia="Times New Roman" w:hAnsi="Arial" w:cs="Arial"/>
          <w:color w:val="000000"/>
          <w:sz w:val="20"/>
          <w:szCs w:val="20"/>
          <w:lang w:eastAsia="en-IN"/>
        </w:rPr>
        <w:t>has been updated</w:t>
      </w:r>
      <w:proofErr w:type="gramEnd"/>
      <w:r w:rsidRPr="00D65503">
        <w:rPr>
          <w:rFonts w:ascii="Arial" w:eastAsia="Times New Roman" w:hAnsi="Arial" w:cs="Arial"/>
          <w:color w:val="000000"/>
          <w:sz w:val="20"/>
          <w:szCs w:val="20"/>
          <w:lang w:eastAsia="en-IN"/>
        </w:rPr>
        <w:t xml:space="preserve"> accordingly.</w:t>
      </w:r>
    </w:p>
    <w:p w:rsidR="00D65503" w:rsidRPr="00D65503" w:rsidRDefault="00D65503" w:rsidP="00D65503">
      <w:pPr>
        <w:spacing w:before="100" w:beforeAutospacing="1" w:after="100" w:afterAutospacing="1" w:line="240" w:lineRule="auto"/>
        <w:jc w:val="both"/>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D65503" w:rsidRPr="00D65503" w:rsidRDefault="00D65503" w:rsidP="00D65503">
      <w:pPr>
        <w:spacing w:before="100" w:beforeAutospacing="1" w:after="100" w:afterAutospacing="1" w:line="240" w:lineRule="auto"/>
        <w:jc w:val="right"/>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Yours faithfully,</w:t>
      </w:r>
    </w:p>
    <w:p w:rsidR="00D65503" w:rsidRDefault="00D65503" w:rsidP="00D65503">
      <w:pPr>
        <w:spacing w:before="100" w:beforeAutospacing="1" w:after="100" w:afterAutospacing="1" w:line="240" w:lineRule="auto"/>
        <w:jc w:val="right"/>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 xml:space="preserve">(Dimple </w:t>
      </w:r>
      <w:proofErr w:type="spellStart"/>
      <w:r w:rsidRPr="00D65503">
        <w:rPr>
          <w:rFonts w:ascii="Arial" w:eastAsia="Times New Roman" w:hAnsi="Arial" w:cs="Arial"/>
          <w:color w:val="000000"/>
          <w:sz w:val="20"/>
          <w:szCs w:val="20"/>
          <w:lang w:eastAsia="en-IN"/>
        </w:rPr>
        <w:t>Bhandia</w:t>
      </w:r>
      <w:proofErr w:type="spellEnd"/>
      <w:r w:rsidRPr="00D65503">
        <w:rPr>
          <w:rFonts w:ascii="Arial" w:eastAsia="Times New Roman" w:hAnsi="Arial" w:cs="Arial"/>
          <w:color w:val="000000"/>
          <w:sz w:val="20"/>
          <w:szCs w:val="20"/>
          <w:lang w:eastAsia="en-IN"/>
        </w:rPr>
        <w:t>)</w:t>
      </w:r>
      <w:r w:rsidRPr="00D65503">
        <w:rPr>
          <w:rFonts w:ascii="Arial" w:eastAsia="Times New Roman" w:hAnsi="Arial" w:cs="Arial"/>
          <w:color w:val="000000"/>
          <w:sz w:val="20"/>
          <w:szCs w:val="20"/>
          <w:lang w:eastAsia="en-IN"/>
        </w:rPr>
        <w:br/>
        <w:t>Chief General Manager</w:t>
      </w:r>
    </w:p>
    <w:p w:rsidR="00D65503" w:rsidRDefault="00D65503" w:rsidP="00D65503">
      <w:pPr>
        <w:spacing w:before="100" w:beforeAutospacing="1" w:after="100" w:afterAutospacing="1" w:line="240" w:lineRule="auto"/>
        <w:rPr>
          <w:rFonts w:ascii="Arial" w:eastAsia="Times New Roman" w:hAnsi="Arial" w:cs="Arial"/>
          <w:color w:val="000000"/>
          <w:sz w:val="20"/>
          <w:szCs w:val="20"/>
          <w:lang w:eastAsia="en-IN"/>
        </w:rPr>
      </w:pPr>
      <w:r w:rsidRPr="00D65503">
        <w:rPr>
          <w:rFonts w:ascii="Arial" w:eastAsia="Times New Roman" w:hAnsi="Arial" w:cs="Arial"/>
          <w:color w:val="000000"/>
          <w:sz w:val="20"/>
          <w:szCs w:val="20"/>
          <w:lang w:eastAsia="en-IN"/>
        </w:rPr>
        <w:t>For more details, kindly refer:</w:t>
      </w:r>
    </w:p>
    <w:p w:rsidR="00D65503" w:rsidRPr="00D65503" w:rsidRDefault="00D65503" w:rsidP="00D65503">
      <w:pPr>
        <w:spacing w:before="100" w:beforeAutospacing="1" w:after="100" w:afterAutospacing="1" w:line="240" w:lineRule="auto"/>
        <w:rPr>
          <w:rFonts w:ascii="Arial" w:eastAsia="Times New Roman" w:hAnsi="Arial" w:cs="Arial"/>
          <w:color w:val="000000"/>
          <w:sz w:val="20"/>
          <w:szCs w:val="20"/>
          <w:lang w:eastAsia="en-IN"/>
        </w:rPr>
      </w:pPr>
      <w:hyperlink r:id="rId53" w:history="1">
        <w:r w:rsidRPr="00E71B8F">
          <w:rPr>
            <w:rStyle w:val="Hyperlink"/>
            <w:rFonts w:ascii="Arial" w:eastAsia="Times New Roman" w:hAnsi="Arial" w:cs="Arial"/>
            <w:sz w:val="20"/>
            <w:szCs w:val="20"/>
            <w:lang w:eastAsia="en-IN"/>
          </w:rPr>
          <w:t>https://www.rbi.org.in/Scripts/NotificationUser.aspx?Id=12662&amp;Mode=0</w:t>
        </w:r>
      </w:hyperlink>
      <w:r>
        <w:rPr>
          <w:rFonts w:ascii="Arial" w:eastAsia="Times New Roman" w:hAnsi="Arial" w:cs="Arial"/>
          <w:color w:val="000000"/>
          <w:sz w:val="20"/>
          <w:szCs w:val="20"/>
          <w:lang w:eastAsia="en-IN"/>
        </w:rPr>
        <w:t xml:space="preserve"> </w:t>
      </w:r>
    </w:p>
    <w:p w:rsidR="00D65503" w:rsidRDefault="00D65503"/>
    <w:p w:rsidR="00BA226B" w:rsidRDefault="00BA226B"/>
    <w:p w:rsidR="00BA226B" w:rsidRDefault="00BA226B"/>
    <w:p w:rsidR="00BA226B" w:rsidRDefault="00BA226B"/>
    <w:p w:rsidR="00BA226B" w:rsidRDefault="00BA226B"/>
    <w:p w:rsidR="00BA226B" w:rsidRDefault="00BA226B"/>
    <w:p w:rsid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Pr>
          <w:rFonts w:ascii="Arial" w:hAnsi="Arial" w:cs="Arial"/>
          <w:b/>
          <w:bCs/>
          <w:color w:val="000000"/>
          <w:sz w:val="20"/>
          <w:szCs w:val="20"/>
        </w:rPr>
        <w:lastRenderedPageBreak/>
        <w:t>Guidance Note on Operational Risk Management and Operational Resilience</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RBI/2024-25/31</w:t>
      </w:r>
      <w:r w:rsidRPr="00BA226B">
        <w:rPr>
          <w:rFonts w:ascii="Arial" w:eastAsia="Times New Roman" w:hAnsi="Arial" w:cs="Arial"/>
          <w:color w:val="000000"/>
          <w:sz w:val="20"/>
          <w:szCs w:val="20"/>
          <w:lang w:eastAsia="en-IN"/>
        </w:rPr>
        <w:br/>
        <w:t>DOR.ORG.REC.21/14.10.001/2024-25</w:t>
      </w:r>
    </w:p>
    <w:p w:rsidR="00BA226B" w:rsidRPr="00BA226B" w:rsidRDefault="00BA226B" w:rsidP="00BA226B">
      <w:pPr>
        <w:spacing w:before="100" w:beforeAutospacing="1" w:after="100" w:afterAutospacing="1" w:line="240" w:lineRule="auto"/>
        <w:jc w:val="right"/>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April 30, 2024</w:t>
      </w:r>
    </w:p>
    <w:p w:rsidR="00BA226B" w:rsidRPr="00BA226B" w:rsidRDefault="00BA226B" w:rsidP="00BA226B">
      <w:pPr>
        <w:spacing w:before="100" w:beforeAutospacing="1" w:after="100" w:afterAutospacing="1" w:line="240" w:lineRule="auto"/>
        <w:jc w:val="both"/>
        <w:rPr>
          <w:rFonts w:ascii="Arial" w:eastAsia="Times New Roman" w:hAnsi="Arial" w:cs="Arial"/>
          <w:b/>
          <w:bCs/>
          <w:color w:val="000000"/>
          <w:sz w:val="20"/>
          <w:szCs w:val="20"/>
          <w:lang w:eastAsia="en-IN"/>
        </w:rPr>
      </w:pPr>
      <w:r w:rsidRPr="00BA226B">
        <w:rPr>
          <w:rFonts w:ascii="Arial" w:eastAsia="Times New Roman" w:hAnsi="Arial" w:cs="Arial"/>
          <w:b/>
          <w:bCs/>
          <w:color w:val="000000"/>
          <w:sz w:val="20"/>
          <w:szCs w:val="20"/>
          <w:lang w:eastAsia="en-IN"/>
        </w:rPr>
        <w:t>1. Purpose</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1.1 Operational Risk is inherent in all banking/ financial products, services, activities, processes, and systems. Effective management of Operational Risk is an integral part of the Regulated Entities’ (REs) risk management framework. Sound Management of Operational Risk shows the overall effectiveness of the Board of Directors and Senior Management in administering the RE’s portfolio of products, services, activities, processes, and systems.</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1.2 An operational disruption can threaten the viability of an RE, </w:t>
      </w:r>
      <w:proofErr w:type="gramStart"/>
      <w:r w:rsidRPr="00BA226B">
        <w:rPr>
          <w:rFonts w:ascii="Arial" w:eastAsia="Times New Roman" w:hAnsi="Arial" w:cs="Arial"/>
          <w:color w:val="000000"/>
          <w:sz w:val="20"/>
          <w:szCs w:val="20"/>
          <w:lang w:eastAsia="en-IN"/>
        </w:rPr>
        <w:t>impact</w:t>
      </w:r>
      <w:proofErr w:type="gramEnd"/>
      <w:r w:rsidRPr="00BA226B">
        <w:rPr>
          <w:rFonts w:ascii="Arial" w:eastAsia="Times New Roman" w:hAnsi="Arial" w:cs="Arial"/>
          <w:color w:val="000000"/>
          <w:sz w:val="20"/>
          <w:szCs w:val="20"/>
          <w:lang w:eastAsia="en-IN"/>
        </w:rPr>
        <w:t xml:space="preserve"> its customers and other market participants, and ultimately have an impact on financial stability. It can result from man-made causes, Information Technology (IT) threats (e.g., cyber-attacks, changes in technology, technology failures, </w:t>
      </w:r>
      <w:proofErr w:type="spellStart"/>
      <w:r w:rsidRPr="00BA226B">
        <w:rPr>
          <w:rFonts w:ascii="Arial" w:eastAsia="Times New Roman" w:hAnsi="Arial" w:cs="Arial"/>
          <w:color w:val="000000"/>
          <w:sz w:val="20"/>
          <w:szCs w:val="20"/>
          <w:lang w:eastAsia="en-IN"/>
        </w:rPr>
        <w:t>etc</w:t>
      </w:r>
      <w:proofErr w:type="spellEnd"/>
      <w:r w:rsidRPr="00BA226B">
        <w:rPr>
          <w:rFonts w:ascii="Arial" w:eastAsia="Times New Roman" w:hAnsi="Arial" w:cs="Arial"/>
          <w:color w:val="000000"/>
          <w:sz w:val="20"/>
          <w:szCs w:val="20"/>
          <w:lang w:eastAsia="en-IN"/>
        </w:rPr>
        <w:t>), geopolitical conflicts, business disruptions, internal/external frauds, execution/ delivery errors, third party dependencies, or natural causes (e.g., climate change, pandemic, etc.).</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1.3 An RE needs to factor in the entire gamut of risks (including the </w:t>
      </w:r>
      <w:proofErr w:type="gramStart"/>
      <w:r w:rsidRPr="00BA226B">
        <w:rPr>
          <w:rFonts w:ascii="Arial" w:eastAsia="Times New Roman" w:hAnsi="Arial" w:cs="Arial"/>
          <w:color w:val="000000"/>
          <w:sz w:val="20"/>
          <w:szCs w:val="20"/>
          <w:lang w:eastAsia="en-IN"/>
        </w:rPr>
        <w:t>aforesaid</w:t>
      </w:r>
      <w:proofErr w:type="gramEnd"/>
      <w:r w:rsidRPr="00BA226B">
        <w:rPr>
          <w:rFonts w:ascii="Arial" w:eastAsia="Times New Roman" w:hAnsi="Arial" w:cs="Arial"/>
          <w:color w:val="000000"/>
          <w:sz w:val="20"/>
          <w:szCs w:val="20"/>
          <w:lang w:eastAsia="en-IN"/>
        </w:rPr>
        <w:t xml:space="preserve"> risks in its risk assessment policies/ processes), identify and assess them using appropriate tools, monitor its material operational exposures and devise appropriate risk mitigation/management strategies using strong internal controls to minimize operational disruptions and continue to deliver critical operations, thus ensuring operational resilience.</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1.4 Until recently, the predominant Operational Risks that REs faced emanated from vulnerabilities related to increasing dependence and rapid adoption of technology for provision of financial services and intermediation. </w:t>
      </w:r>
      <w:proofErr w:type="gramStart"/>
      <w:r w:rsidRPr="00BA226B">
        <w:rPr>
          <w:rFonts w:ascii="Arial" w:eastAsia="Times New Roman" w:hAnsi="Arial" w:cs="Arial"/>
          <w:color w:val="000000"/>
          <w:sz w:val="20"/>
          <w:szCs w:val="20"/>
          <w:lang w:eastAsia="en-IN"/>
        </w:rPr>
        <w:t>However, the financial sector’s growing reliance on third-party providers (including technology service providers) exacerbated by Covid-19 pandemic with greater reliance on virtual working arrangements, has highlighted the increasing importance of Operational Risk Management and Operational Resilience; which not only benefits the RE by strengthening its ability to remain a viable going concern but also supports the financial system by ensuring continuous delivery of critical operations during any disruption.</w:t>
      </w:r>
      <w:proofErr w:type="gramEnd"/>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1.5 In view of the foregoing, the Reserve Bank, through this Guidance Note on Operational Risk Management and Operational Resilience (hereafter ‘Guidance Note’) intends to:</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1.5.1 </w:t>
      </w:r>
      <w:proofErr w:type="gramStart"/>
      <w:r w:rsidRPr="00BA226B">
        <w:rPr>
          <w:rFonts w:ascii="Arial" w:eastAsia="Times New Roman" w:hAnsi="Arial" w:cs="Arial"/>
          <w:color w:val="000000"/>
          <w:sz w:val="20"/>
          <w:szCs w:val="20"/>
          <w:lang w:eastAsia="en-IN"/>
        </w:rPr>
        <w:t>promote</w:t>
      </w:r>
      <w:proofErr w:type="gramEnd"/>
      <w:r w:rsidRPr="00BA226B">
        <w:rPr>
          <w:rFonts w:ascii="Arial" w:eastAsia="Times New Roman" w:hAnsi="Arial" w:cs="Arial"/>
          <w:color w:val="000000"/>
          <w:sz w:val="20"/>
          <w:szCs w:val="20"/>
          <w:lang w:eastAsia="en-IN"/>
        </w:rPr>
        <w:t xml:space="preserve"> and further improve the effectiveness of Operational Risk Management of the REs, and</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1.5.2 </w:t>
      </w:r>
      <w:proofErr w:type="gramStart"/>
      <w:r w:rsidRPr="00BA226B">
        <w:rPr>
          <w:rFonts w:ascii="Arial" w:eastAsia="Times New Roman" w:hAnsi="Arial" w:cs="Arial"/>
          <w:color w:val="000000"/>
          <w:sz w:val="20"/>
          <w:szCs w:val="20"/>
          <w:lang w:eastAsia="en-IN"/>
        </w:rPr>
        <w:t>enhance</w:t>
      </w:r>
      <w:proofErr w:type="gramEnd"/>
      <w:r w:rsidRPr="00BA226B">
        <w:rPr>
          <w:rFonts w:ascii="Arial" w:eastAsia="Times New Roman" w:hAnsi="Arial" w:cs="Arial"/>
          <w:color w:val="000000"/>
          <w:sz w:val="20"/>
          <w:szCs w:val="20"/>
          <w:lang w:eastAsia="en-IN"/>
        </w:rPr>
        <w:t xml:space="preserve"> their Operational Resilience given the interconnections and interdependencies, within the financial system, that result from the complex and dynamic environment in which the REs operate.</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BA226B">
        <w:rPr>
          <w:rFonts w:ascii="Arial" w:eastAsia="Times New Roman" w:hAnsi="Arial" w:cs="Arial"/>
          <w:color w:val="000000"/>
          <w:sz w:val="20"/>
          <w:szCs w:val="20"/>
          <w:lang w:eastAsia="en-IN"/>
        </w:rPr>
        <w:t>1.6</w:t>
      </w:r>
      <w:proofErr w:type="gramEnd"/>
      <w:r w:rsidRPr="00BA226B">
        <w:rPr>
          <w:rFonts w:ascii="Arial" w:eastAsia="Times New Roman" w:hAnsi="Arial" w:cs="Arial"/>
          <w:color w:val="000000"/>
          <w:sz w:val="20"/>
          <w:szCs w:val="20"/>
          <w:lang w:eastAsia="en-IN"/>
        </w:rPr>
        <w:t xml:space="preserve"> This Guidance Note updates the “</w:t>
      </w:r>
      <w:hyperlink r:id="rId54" w:tgtFrame="_blank" w:history="1">
        <w:r w:rsidRPr="00BA226B">
          <w:rPr>
            <w:rFonts w:ascii="Arial" w:eastAsia="Times New Roman" w:hAnsi="Arial" w:cs="Arial"/>
            <w:color w:val="0000FF"/>
            <w:sz w:val="20"/>
            <w:szCs w:val="20"/>
            <w:u w:val="single"/>
            <w:lang w:eastAsia="en-IN"/>
          </w:rPr>
          <w:t>Guidance Note on Management of Operational Risk” dated October 14, 2005</w:t>
        </w:r>
      </w:hyperlink>
      <w:r w:rsidRPr="00BA226B">
        <w:rPr>
          <w:rFonts w:ascii="Arial" w:eastAsia="Times New Roman" w:hAnsi="Arial" w:cs="Arial"/>
          <w:color w:val="000000"/>
          <w:sz w:val="20"/>
          <w:szCs w:val="20"/>
          <w:lang w:eastAsia="en-IN"/>
        </w:rPr>
        <w:t>. It has been prepared based on the Basel Committee on Banking Supervision (BCBS) principles documents issued in March 2021, viz., (a) ‘Revisions to the Principles for the Sound Management of Operational Risk’ and (b) ‘Principles for Operational Resilience’ as well as the some of the international best practices.</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1.7 The Guidance Note has adopted a principle-based and proportionate approach to ensure smooth implementation across REs of various sizes, nature, complexity, geographic location and risk profile of their businesses. Although the exact approach may vary from RE to RE, the Guidance Note provides an overarching guidance to REs for improving and further strengthening their Operational Risk Management Framework (ORMF). It gives adequate flexibility to REs for Operational Risk Management to enhance their ability to withstand, adapt and recover from potential operational disruptions and ensure their Operational Resilience. The systems, procedures and tools prescribed in this Guidance Note are indicative in nature and </w:t>
      </w:r>
      <w:proofErr w:type="gramStart"/>
      <w:r w:rsidRPr="00BA226B">
        <w:rPr>
          <w:rFonts w:ascii="Arial" w:eastAsia="Times New Roman" w:hAnsi="Arial" w:cs="Arial"/>
          <w:color w:val="000000"/>
          <w:sz w:val="20"/>
          <w:szCs w:val="20"/>
          <w:lang w:eastAsia="en-IN"/>
        </w:rPr>
        <w:t>should be read</w:t>
      </w:r>
      <w:proofErr w:type="gramEnd"/>
      <w:r w:rsidRPr="00BA226B">
        <w:rPr>
          <w:rFonts w:ascii="Arial" w:eastAsia="Times New Roman" w:hAnsi="Arial" w:cs="Arial"/>
          <w:color w:val="000000"/>
          <w:sz w:val="20"/>
          <w:szCs w:val="20"/>
          <w:lang w:eastAsia="en-IN"/>
        </w:rPr>
        <w:t xml:space="preserve"> in conjunction with the relevant instructions issued by </w:t>
      </w:r>
      <w:r w:rsidRPr="00BA226B">
        <w:rPr>
          <w:rFonts w:ascii="Arial" w:eastAsia="Times New Roman" w:hAnsi="Arial" w:cs="Arial"/>
          <w:color w:val="000000"/>
          <w:sz w:val="20"/>
          <w:szCs w:val="20"/>
          <w:lang w:eastAsia="en-IN"/>
        </w:rPr>
        <w:lastRenderedPageBreak/>
        <w:t>Reserve Bank from time to time. In case of inconsistency, if any, the relevant instructions issued by the Reserve Bank would prevail.</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1.8 The operational risk regulatory capital requirements shall continue to </w:t>
      </w:r>
      <w:proofErr w:type="gramStart"/>
      <w:r w:rsidRPr="00BA226B">
        <w:rPr>
          <w:rFonts w:ascii="Arial" w:eastAsia="Times New Roman" w:hAnsi="Arial" w:cs="Arial"/>
          <w:color w:val="000000"/>
          <w:sz w:val="20"/>
          <w:szCs w:val="20"/>
          <w:lang w:eastAsia="en-IN"/>
        </w:rPr>
        <w:t>be guided</w:t>
      </w:r>
      <w:proofErr w:type="gramEnd"/>
      <w:r w:rsidRPr="00BA226B">
        <w:rPr>
          <w:rFonts w:ascii="Arial" w:eastAsia="Times New Roman" w:hAnsi="Arial" w:cs="Arial"/>
          <w:color w:val="000000"/>
          <w:sz w:val="20"/>
          <w:szCs w:val="20"/>
          <w:lang w:eastAsia="en-IN"/>
        </w:rPr>
        <w:t xml:space="preserve"> by the applicable guidelines</w:t>
      </w:r>
      <w:hyperlink r:id="rId55" w:anchor="FN1" w:history="1">
        <w:r w:rsidRPr="00BA226B">
          <w:rPr>
            <w:rFonts w:ascii="Arial" w:eastAsia="Times New Roman" w:hAnsi="Arial" w:cs="Arial"/>
            <w:color w:val="0000FF"/>
            <w:sz w:val="15"/>
            <w:szCs w:val="15"/>
            <w:u w:val="single"/>
            <w:vertAlign w:val="superscript"/>
            <w:lang w:eastAsia="en-IN"/>
          </w:rPr>
          <w:t>1</w:t>
        </w:r>
      </w:hyperlink>
      <w:r w:rsidRPr="00BA226B">
        <w:rPr>
          <w:rFonts w:ascii="Arial" w:eastAsia="Times New Roman" w:hAnsi="Arial" w:cs="Arial"/>
          <w:color w:val="000000"/>
          <w:sz w:val="20"/>
          <w:szCs w:val="20"/>
          <w:lang w:eastAsia="en-IN"/>
        </w:rPr>
        <w:t>.</w:t>
      </w:r>
    </w:p>
    <w:p w:rsidR="00BA226B" w:rsidRPr="00BA226B" w:rsidRDefault="00BA226B" w:rsidP="00BA226B">
      <w:pPr>
        <w:spacing w:before="100" w:beforeAutospacing="1" w:after="100" w:afterAutospacing="1" w:line="240" w:lineRule="auto"/>
        <w:jc w:val="both"/>
        <w:rPr>
          <w:rFonts w:ascii="Arial" w:eastAsia="Times New Roman" w:hAnsi="Arial" w:cs="Arial"/>
          <w:b/>
          <w:bCs/>
          <w:color w:val="000000"/>
          <w:sz w:val="20"/>
          <w:szCs w:val="20"/>
          <w:lang w:eastAsia="en-IN"/>
        </w:rPr>
      </w:pPr>
      <w:r w:rsidRPr="00BA226B">
        <w:rPr>
          <w:rFonts w:ascii="Arial" w:eastAsia="Times New Roman" w:hAnsi="Arial" w:cs="Arial"/>
          <w:b/>
          <w:bCs/>
          <w:color w:val="000000"/>
          <w:sz w:val="20"/>
          <w:szCs w:val="20"/>
          <w:lang w:eastAsia="en-IN"/>
        </w:rPr>
        <w:t>2. Application</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2.1 This Guidance Note shall apply to the following REs:</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2.1.1 All Commercial Banks</w:t>
      </w:r>
      <w:hyperlink r:id="rId56" w:anchor="FN2" w:history="1">
        <w:r w:rsidRPr="00BA226B">
          <w:rPr>
            <w:rFonts w:ascii="Arial" w:eastAsia="Times New Roman" w:hAnsi="Arial" w:cs="Arial"/>
            <w:color w:val="0000FF"/>
            <w:sz w:val="15"/>
            <w:szCs w:val="15"/>
            <w:u w:val="single"/>
            <w:vertAlign w:val="superscript"/>
            <w:lang w:eastAsia="en-IN"/>
          </w:rPr>
          <w:t>2</w:t>
        </w:r>
      </w:hyperlink>
      <w:r w:rsidRPr="00BA226B">
        <w:rPr>
          <w:rFonts w:ascii="Arial" w:eastAsia="Times New Roman" w:hAnsi="Arial" w:cs="Arial"/>
          <w:color w:val="000000"/>
          <w:sz w:val="20"/>
          <w:szCs w:val="20"/>
          <w:lang w:eastAsia="en-IN"/>
        </w:rPr>
        <w:t>;</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2.1.2 All Primary (Urban) Co-operative Banks/State Co-operative Banks/Central Co-operative Banks;</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2.1.3 All All-India Financial Institutions (viz., Exim Bank, NABARD, NHB, SIDBI, and </w:t>
      </w:r>
      <w:proofErr w:type="spellStart"/>
      <w:r w:rsidRPr="00BA226B">
        <w:rPr>
          <w:rFonts w:ascii="Arial" w:eastAsia="Times New Roman" w:hAnsi="Arial" w:cs="Arial"/>
          <w:color w:val="000000"/>
          <w:sz w:val="20"/>
          <w:szCs w:val="20"/>
          <w:lang w:eastAsia="en-IN"/>
        </w:rPr>
        <w:t>NaBFID</w:t>
      </w:r>
      <w:proofErr w:type="spellEnd"/>
      <w:r w:rsidRPr="00BA226B">
        <w:rPr>
          <w:rFonts w:ascii="Arial" w:eastAsia="Times New Roman" w:hAnsi="Arial" w:cs="Arial"/>
          <w:color w:val="000000"/>
          <w:sz w:val="20"/>
          <w:szCs w:val="20"/>
          <w:lang w:eastAsia="en-IN"/>
        </w:rPr>
        <w:t>); and</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2.1.4 All Non-Banking Financial Companies including Housing Finance Companies.</w:t>
      </w:r>
    </w:p>
    <w:p w:rsidR="00BA226B" w:rsidRPr="00BA226B" w:rsidRDefault="00BA226B" w:rsidP="00BA226B">
      <w:pPr>
        <w:spacing w:before="100" w:beforeAutospacing="1" w:after="100" w:afterAutospacing="1" w:line="240" w:lineRule="auto"/>
        <w:jc w:val="both"/>
        <w:rPr>
          <w:rFonts w:ascii="Arial" w:eastAsia="Times New Roman" w:hAnsi="Arial" w:cs="Arial"/>
          <w:b/>
          <w:bCs/>
          <w:color w:val="000000"/>
          <w:sz w:val="20"/>
          <w:szCs w:val="20"/>
          <w:lang w:eastAsia="en-IN"/>
        </w:rPr>
      </w:pPr>
      <w:r w:rsidRPr="00BA226B">
        <w:rPr>
          <w:rFonts w:ascii="Arial" w:eastAsia="Times New Roman" w:hAnsi="Arial" w:cs="Arial"/>
          <w:b/>
          <w:bCs/>
          <w:color w:val="000000"/>
          <w:sz w:val="20"/>
          <w:szCs w:val="20"/>
          <w:lang w:eastAsia="en-IN"/>
        </w:rPr>
        <w:t>3. Repeal and Transitional Arrangements</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With the issuance of this Guidance </w:t>
      </w:r>
      <w:proofErr w:type="gramStart"/>
      <w:r w:rsidRPr="00BA226B">
        <w:rPr>
          <w:rFonts w:ascii="Arial" w:eastAsia="Times New Roman" w:hAnsi="Arial" w:cs="Arial"/>
          <w:color w:val="000000"/>
          <w:sz w:val="20"/>
          <w:szCs w:val="20"/>
          <w:lang w:eastAsia="en-IN"/>
        </w:rPr>
        <w:t>Note</w:t>
      </w:r>
      <w:proofErr w:type="gramEnd"/>
      <w:r w:rsidRPr="00BA226B">
        <w:rPr>
          <w:rFonts w:ascii="Arial" w:eastAsia="Times New Roman" w:hAnsi="Arial" w:cs="Arial"/>
          <w:color w:val="000000"/>
          <w:sz w:val="20"/>
          <w:szCs w:val="20"/>
          <w:lang w:eastAsia="en-IN"/>
        </w:rPr>
        <w:t xml:space="preserve"> the “</w:t>
      </w:r>
      <w:hyperlink r:id="rId57" w:tgtFrame="_blank" w:history="1">
        <w:r w:rsidRPr="00BA226B">
          <w:rPr>
            <w:rFonts w:ascii="Arial" w:eastAsia="Times New Roman" w:hAnsi="Arial" w:cs="Arial"/>
            <w:color w:val="0000FF"/>
            <w:sz w:val="20"/>
            <w:szCs w:val="20"/>
            <w:u w:val="single"/>
            <w:lang w:eastAsia="en-IN"/>
          </w:rPr>
          <w:t>Guidance Note on Management of Operational Risk” dated October 14, 2005</w:t>
        </w:r>
      </w:hyperlink>
      <w:r w:rsidRPr="00BA226B">
        <w:rPr>
          <w:rFonts w:ascii="Arial" w:eastAsia="Times New Roman" w:hAnsi="Arial" w:cs="Arial"/>
          <w:color w:val="000000"/>
          <w:sz w:val="20"/>
          <w:szCs w:val="20"/>
          <w:lang w:eastAsia="en-IN"/>
        </w:rPr>
        <w:t>, stands repealed.</w:t>
      </w:r>
    </w:p>
    <w:p w:rsidR="00BA226B" w:rsidRPr="00BA226B" w:rsidRDefault="00BA226B" w:rsidP="00BA226B">
      <w:pPr>
        <w:spacing w:before="100" w:beforeAutospacing="1" w:after="100" w:afterAutospacing="1" w:line="240" w:lineRule="auto"/>
        <w:jc w:val="both"/>
        <w:rPr>
          <w:rFonts w:ascii="Arial" w:eastAsia="Times New Roman" w:hAnsi="Arial" w:cs="Arial"/>
          <w:b/>
          <w:bCs/>
          <w:color w:val="000000"/>
          <w:sz w:val="20"/>
          <w:szCs w:val="20"/>
          <w:lang w:eastAsia="en-IN"/>
        </w:rPr>
      </w:pPr>
      <w:r w:rsidRPr="00BA226B">
        <w:rPr>
          <w:rFonts w:ascii="Arial" w:eastAsia="Times New Roman" w:hAnsi="Arial" w:cs="Arial"/>
          <w:b/>
          <w:bCs/>
          <w:color w:val="000000"/>
          <w:sz w:val="20"/>
          <w:szCs w:val="20"/>
          <w:lang w:eastAsia="en-IN"/>
        </w:rPr>
        <w:t>4. Key changes</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 xml:space="preserve">Key changes carried out in </w:t>
      </w:r>
      <w:proofErr w:type="gramStart"/>
      <w:r w:rsidRPr="00BA226B">
        <w:rPr>
          <w:rFonts w:ascii="Arial" w:eastAsia="Times New Roman" w:hAnsi="Arial" w:cs="Arial"/>
          <w:color w:val="000000"/>
          <w:sz w:val="20"/>
          <w:szCs w:val="20"/>
          <w:lang w:eastAsia="en-IN"/>
        </w:rPr>
        <w:t>this</w:t>
      </w:r>
      <w:proofErr w:type="gramEnd"/>
      <w:r w:rsidRPr="00BA226B">
        <w:rPr>
          <w:rFonts w:ascii="Arial" w:eastAsia="Times New Roman" w:hAnsi="Arial" w:cs="Arial"/>
          <w:color w:val="000000"/>
          <w:sz w:val="20"/>
          <w:szCs w:val="20"/>
          <w:lang w:eastAsia="en-IN"/>
        </w:rPr>
        <w:t xml:space="preserve"> Guidance Note vis-à-vis the repealed Guidance Note are given in </w:t>
      </w:r>
      <w:hyperlink r:id="rId58" w:anchor="ANN" w:history="1">
        <w:r w:rsidRPr="00BA226B">
          <w:rPr>
            <w:rFonts w:ascii="Arial" w:eastAsia="Times New Roman" w:hAnsi="Arial" w:cs="Arial"/>
            <w:color w:val="0000FF"/>
            <w:sz w:val="20"/>
            <w:szCs w:val="20"/>
            <w:u w:val="single"/>
            <w:lang w:eastAsia="en-IN"/>
          </w:rPr>
          <w:t>Annex</w:t>
        </w:r>
      </w:hyperlink>
      <w:r w:rsidRPr="00BA226B">
        <w:rPr>
          <w:rFonts w:ascii="Arial" w:eastAsia="Times New Roman" w:hAnsi="Arial" w:cs="Arial"/>
          <w:color w:val="000000"/>
          <w:sz w:val="20"/>
          <w:szCs w:val="20"/>
          <w:lang w:eastAsia="en-IN"/>
        </w:rPr>
        <w:t>.</w:t>
      </w:r>
    </w:p>
    <w:p w:rsidR="00BA226B" w:rsidRPr="00BA226B" w:rsidRDefault="00BA226B" w:rsidP="00BA226B">
      <w:pPr>
        <w:spacing w:before="100" w:beforeAutospacing="1" w:after="100" w:afterAutospacing="1" w:line="240" w:lineRule="auto"/>
        <w:jc w:val="both"/>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Yours faithfully,</w:t>
      </w:r>
    </w:p>
    <w:p w:rsidR="00BA226B" w:rsidRDefault="00BA226B" w:rsidP="00BA226B">
      <w:pPr>
        <w:spacing w:before="100" w:beforeAutospacing="1" w:after="100" w:afterAutospacing="1" w:line="240" w:lineRule="auto"/>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(Sunil T. S. Nair)</w:t>
      </w:r>
      <w:r w:rsidRPr="00BA226B">
        <w:rPr>
          <w:rFonts w:ascii="Arial" w:eastAsia="Times New Roman" w:hAnsi="Arial" w:cs="Arial"/>
          <w:color w:val="000000"/>
          <w:sz w:val="20"/>
          <w:szCs w:val="20"/>
          <w:lang w:eastAsia="en-IN"/>
        </w:rPr>
        <w:br/>
        <w:t>Chief General Manager</w:t>
      </w:r>
    </w:p>
    <w:p w:rsidR="00BA226B" w:rsidRDefault="00BA226B" w:rsidP="00BA226B">
      <w:pPr>
        <w:spacing w:before="100" w:beforeAutospacing="1" w:after="100" w:afterAutospacing="1" w:line="240" w:lineRule="auto"/>
        <w:rPr>
          <w:rFonts w:ascii="Arial" w:eastAsia="Times New Roman" w:hAnsi="Arial" w:cs="Arial"/>
          <w:color w:val="000000"/>
          <w:sz w:val="20"/>
          <w:szCs w:val="20"/>
          <w:lang w:eastAsia="en-IN"/>
        </w:rPr>
      </w:pPr>
      <w:r w:rsidRPr="00BA226B">
        <w:rPr>
          <w:rFonts w:ascii="Arial" w:eastAsia="Times New Roman" w:hAnsi="Arial" w:cs="Arial"/>
          <w:color w:val="000000"/>
          <w:sz w:val="20"/>
          <w:szCs w:val="20"/>
          <w:lang w:eastAsia="en-IN"/>
        </w:rPr>
        <w:t>For more details, kindly refer:</w:t>
      </w:r>
    </w:p>
    <w:p w:rsidR="00BA226B" w:rsidRPr="00BA226B" w:rsidRDefault="00BA226B" w:rsidP="00BA226B">
      <w:pPr>
        <w:spacing w:before="100" w:beforeAutospacing="1" w:after="100" w:afterAutospacing="1" w:line="240" w:lineRule="auto"/>
        <w:rPr>
          <w:rFonts w:ascii="Arial" w:eastAsia="Times New Roman" w:hAnsi="Arial" w:cs="Arial"/>
          <w:color w:val="000000"/>
          <w:sz w:val="20"/>
          <w:szCs w:val="20"/>
          <w:lang w:eastAsia="en-IN"/>
        </w:rPr>
      </w:pPr>
      <w:hyperlink r:id="rId59" w:history="1">
        <w:r w:rsidRPr="00E71B8F">
          <w:rPr>
            <w:rStyle w:val="Hyperlink"/>
            <w:rFonts w:ascii="Arial" w:eastAsia="Times New Roman" w:hAnsi="Arial" w:cs="Arial"/>
            <w:sz w:val="20"/>
            <w:szCs w:val="20"/>
            <w:lang w:eastAsia="en-IN"/>
          </w:rPr>
          <w:t>https://www.rbi.org.in/Scripts/NotificationUser.aspx?Id=12679&amp;Mode=0</w:t>
        </w:r>
      </w:hyperlink>
      <w:r>
        <w:rPr>
          <w:rFonts w:ascii="Arial" w:eastAsia="Times New Roman" w:hAnsi="Arial" w:cs="Arial"/>
          <w:color w:val="000000"/>
          <w:sz w:val="20"/>
          <w:szCs w:val="20"/>
          <w:lang w:eastAsia="en-IN"/>
        </w:rPr>
        <w:t xml:space="preserve"> </w:t>
      </w:r>
    </w:p>
    <w:p w:rsidR="00BA226B" w:rsidRDefault="00BA226B"/>
    <w:p w:rsidR="00871678" w:rsidRDefault="00871678"/>
    <w:p w:rsidR="00871678" w:rsidRDefault="00871678"/>
    <w:p w:rsidR="00871678" w:rsidRDefault="00871678"/>
    <w:p w:rsidR="00871678" w:rsidRDefault="00871678"/>
    <w:p w:rsidR="00871678" w:rsidRDefault="00871678"/>
    <w:p w:rsidR="00871678" w:rsidRDefault="00871678"/>
    <w:p w:rsidR="00871678" w:rsidRDefault="00871678"/>
    <w:p w:rsidR="00871678" w:rsidRDefault="00871678"/>
    <w:p w:rsidR="00871678" w:rsidRDefault="00871678"/>
    <w:p w:rsidR="00871678" w:rsidRPr="00871678" w:rsidRDefault="00871678" w:rsidP="00871678">
      <w:pPr>
        <w:spacing w:before="100" w:beforeAutospacing="1" w:after="100" w:afterAutospacing="1" w:line="240" w:lineRule="auto"/>
        <w:jc w:val="both"/>
        <w:rPr>
          <w:rFonts w:ascii="Arial" w:eastAsia="Times New Roman" w:hAnsi="Arial" w:cs="Arial"/>
          <w:b/>
          <w:bCs/>
          <w:color w:val="000000"/>
          <w:sz w:val="20"/>
          <w:szCs w:val="20"/>
          <w:lang w:eastAsia="en-IN"/>
        </w:rPr>
      </w:pPr>
      <w:r w:rsidRPr="00871678">
        <w:rPr>
          <w:rFonts w:ascii="Arial" w:eastAsia="Times New Roman" w:hAnsi="Arial" w:cs="Arial"/>
          <w:b/>
          <w:bCs/>
          <w:color w:val="000000"/>
          <w:sz w:val="20"/>
          <w:szCs w:val="20"/>
          <w:lang w:eastAsia="en-IN"/>
        </w:rPr>
        <w:lastRenderedPageBreak/>
        <w:t>Master Direction – Risk Management and Inter-Bank Dealings: Amendments</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RBI/2024-25/32</w:t>
      </w:r>
      <w:r w:rsidRPr="00871678">
        <w:rPr>
          <w:rFonts w:ascii="Arial" w:eastAsia="Times New Roman" w:hAnsi="Arial" w:cs="Arial"/>
          <w:color w:val="000000"/>
          <w:sz w:val="20"/>
          <w:szCs w:val="20"/>
          <w:lang w:eastAsia="en-IN"/>
        </w:rPr>
        <w:br/>
        <w:t>A. P. (DIR Series) Circular No. 04</w:t>
      </w:r>
    </w:p>
    <w:p w:rsidR="00871678" w:rsidRPr="00871678" w:rsidRDefault="00871678" w:rsidP="00871678">
      <w:pPr>
        <w:spacing w:before="100" w:beforeAutospacing="1" w:after="100" w:afterAutospacing="1" w:line="240" w:lineRule="auto"/>
        <w:jc w:val="right"/>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May 03, 2024</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To,</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All Authorised Persons</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Madam/Sir,</w:t>
      </w:r>
    </w:p>
    <w:p w:rsidR="00871678" w:rsidRPr="00871678" w:rsidRDefault="00871678" w:rsidP="00871678">
      <w:pPr>
        <w:spacing w:before="100" w:beforeAutospacing="1" w:after="100" w:afterAutospacing="1" w:line="240" w:lineRule="auto"/>
        <w:jc w:val="both"/>
        <w:rPr>
          <w:rFonts w:ascii="Arial" w:eastAsia="Times New Roman" w:hAnsi="Arial" w:cs="Arial"/>
          <w:b/>
          <w:bCs/>
          <w:color w:val="000000"/>
          <w:sz w:val="20"/>
          <w:szCs w:val="20"/>
          <w:lang w:eastAsia="en-IN"/>
        </w:rPr>
      </w:pPr>
      <w:r w:rsidRPr="00871678">
        <w:rPr>
          <w:rFonts w:ascii="Arial" w:eastAsia="Times New Roman" w:hAnsi="Arial" w:cs="Arial"/>
          <w:b/>
          <w:bCs/>
          <w:color w:val="000000"/>
          <w:sz w:val="20"/>
          <w:szCs w:val="20"/>
          <w:lang w:eastAsia="en-IN"/>
        </w:rPr>
        <w:t>Master Direction – Risk Management and Inter-Bank Dealings: Amendments</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Attention of Authorised Persons is invited to the Foreign Exchange Management (Foreign Exchange Derivative Contracts) Regulations, 2000 dated May 03, 2000 [</w:t>
      </w:r>
      <w:hyperlink r:id="rId60" w:tgtFrame="_blank" w:history="1">
        <w:r w:rsidRPr="00871678">
          <w:rPr>
            <w:rFonts w:ascii="Arial" w:eastAsia="Times New Roman" w:hAnsi="Arial" w:cs="Arial"/>
            <w:color w:val="0000FF"/>
            <w:sz w:val="20"/>
            <w:szCs w:val="20"/>
            <w:u w:val="single"/>
            <w:lang w:eastAsia="en-IN"/>
          </w:rPr>
          <w:t>Notification no. FEMA.25/RB-2000 dated May 03, 2000</w:t>
        </w:r>
      </w:hyperlink>
      <w:r w:rsidRPr="00871678">
        <w:rPr>
          <w:rFonts w:ascii="Arial" w:eastAsia="Times New Roman" w:hAnsi="Arial" w:cs="Arial"/>
          <w:color w:val="000000"/>
          <w:sz w:val="20"/>
          <w:szCs w:val="20"/>
          <w:lang w:eastAsia="en-IN"/>
        </w:rPr>
        <w:t>], as amended from time to time and </w:t>
      </w:r>
      <w:hyperlink r:id="rId61" w:tgtFrame="_blank" w:history="1">
        <w:r w:rsidRPr="00871678">
          <w:rPr>
            <w:rFonts w:ascii="Arial" w:eastAsia="Times New Roman" w:hAnsi="Arial" w:cs="Arial"/>
            <w:color w:val="0000FF"/>
            <w:sz w:val="20"/>
            <w:szCs w:val="20"/>
            <w:u w:val="single"/>
            <w:lang w:eastAsia="en-IN"/>
          </w:rPr>
          <w:t>Master Direction - Risk Management and Inter-Bank Dealings dated July 05, 2016</w:t>
        </w:r>
      </w:hyperlink>
      <w:r w:rsidRPr="00871678">
        <w:rPr>
          <w:rFonts w:ascii="Arial" w:eastAsia="Times New Roman" w:hAnsi="Arial" w:cs="Arial"/>
          <w:color w:val="000000"/>
          <w:sz w:val="20"/>
          <w:szCs w:val="20"/>
          <w:lang w:eastAsia="en-IN"/>
        </w:rPr>
        <w:t>, as amended from time to time (hereinafter referred as ‘Master Direction’).</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2. Standalone Primary Dealers (SPDs) have been granted authorisation under Section 10(1) of the Foreign Exchange Management Act (FEMA), 1999 pursuant to </w:t>
      </w:r>
      <w:hyperlink r:id="rId62" w:tgtFrame="_blank" w:history="1">
        <w:r w:rsidRPr="00871678">
          <w:rPr>
            <w:rFonts w:ascii="Arial" w:eastAsia="Times New Roman" w:hAnsi="Arial" w:cs="Arial"/>
            <w:color w:val="0000FF"/>
            <w:sz w:val="20"/>
            <w:szCs w:val="20"/>
            <w:u w:val="single"/>
            <w:lang w:eastAsia="en-IN"/>
          </w:rPr>
          <w:t>notification no. DNBR (PD) CC.No.094/03.10.001/2018-19 July 27, 2018</w:t>
        </w:r>
      </w:hyperlink>
      <w:r w:rsidRPr="00871678">
        <w:rPr>
          <w:rFonts w:ascii="Arial" w:eastAsia="Times New Roman" w:hAnsi="Arial" w:cs="Arial"/>
          <w:color w:val="000000"/>
          <w:sz w:val="20"/>
          <w:szCs w:val="20"/>
          <w:lang w:eastAsia="en-IN"/>
        </w:rPr>
        <w:t xml:space="preserve">. Accordingly, amendments </w:t>
      </w:r>
      <w:proofErr w:type="gramStart"/>
      <w:r w:rsidRPr="00871678">
        <w:rPr>
          <w:rFonts w:ascii="Arial" w:eastAsia="Times New Roman" w:hAnsi="Arial" w:cs="Arial"/>
          <w:color w:val="000000"/>
          <w:sz w:val="20"/>
          <w:szCs w:val="20"/>
          <w:lang w:eastAsia="en-IN"/>
        </w:rPr>
        <w:t>are being made</w:t>
      </w:r>
      <w:proofErr w:type="gramEnd"/>
      <w:r w:rsidRPr="00871678">
        <w:rPr>
          <w:rFonts w:ascii="Arial" w:eastAsia="Times New Roman" w:hAnsi="Arial" w:cs="Arial"/>
          <w:color w:val="000000"/>
          <w:sz w:val="20"/>
          <w:szCs w:val="20"/>
          <w:lang w:eastAsia="en-IN"/>
        </w:rPr>
        <w:t xml:space="preserve"> in the Master Direction to reflect the applicability of the provisions to SPDs. These amendments </w:t>
      </w:r>
      <w:proofErr w:type="gramStart"/>
      <w:r w:rsidRPr="00871678">
        <w:rPr>
          <w:rFonts w:ascii="Arial" w:eastAsia="Times New Roman" w:hAnsi="Arial" w:cs="Arial"/>
          <w:color w:val="000000"/>
          <w:sz w:val="20"/>
          <w:szCs w:val="20"/>
          <w:lang w:eastAsia="en-IN"/>
        </w:rPr>
        <w:t>are placed</w:t>
      </w:r>
      <w:proofErr w:type="gramEnd"/>
      <w:r w:rsidRPr="00871678">
        <w:rPr>
          <w:rFonts w:ascii="Arial" w:eastAsia="Times New Roman" w:hAnsi="Arial" w:cs="Arial"/>
          <w:color w:val="000000"/>
          <w:sz w:val="20"/>
          <w:szCs w:val="20"/>
          <w:lang w:eastAsia="en-IN"/>
        </w:rPr>
        <w:t xml:space="preserve"> at </w:t>
      </w:r>
      <w:hyperlink r:id="rId63" w:anchor="ANN1" w:history="1">
        <w:r w:rsidRPr="00871678">
          <w:rPr>
            <w:rFonts w:ascii="Arial" w:eastAsia="Times New Roman" w:hAnsi="Arial" w:cs="Arial"/>
            <w:color w:val="0000FF"/>
            <w:sz w:val="20"/>
            <w:szCs w:val="20"/>
            <w:u w:val="single"/>
            <w:lang w:eastAsia="en-IN"/>
          </w:rPr>
          <w:t>Annex I</w:t>
        </w:r>
      </w:hyperlink>
      <w:r w:rsidRPr="00871678">
        <w:rPr>
          <w:rFonts w:ascii="Arial" w:eastAsia="Times New Roman" w:hAnsi="Arial" w:cs="Arial"/>
          <w:color w:val="000000"/>
          <w:sz w:val="20"/>
          <w:szCs w:val="20"/>
          <w:lang w:eastAsia="en-IN"/>
        </w:rPr>
        <w:t> herewith. SPDs shall continue to comply with all applicable Directions issued by the Reserve Bank of India.</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 xml:space="preserve">3. Additionally, directions on reporting of OTC foreign exchange derivative contracts and foreign currency interest rate derivative contracts to the Trade Repository of Clearing Corporation of India Ltd. have been updated and incorporated in Part E of the Master Direction. Certain directions on reporting relating to format, mode, timelines, etc., </w:t>
      </w:r>
      <w:proofErr w:type="gramStart"/>
      <w:r w:rsidRPr="00871678">
        <w:rPr>
          <w:rFonts w:ascii="Arial" w:eastAsia="Times New Roman" w:hAnsi="Arial" w:cs="Arial"/>
          <w:color w:val="000000"/>
          <w:sz w:val="20"/>
          <w:szCs w:val="20"/>
          <w:lang w:eastAsia="en-IN"/>
        </w:rPr>
        <w:t>have also been updated</w:t>
      </w:r>
      <w:proofErr w:type="gramEnd"/>
      <w:r w:rsidRPr="00871678">
        <w:rPr>
          <w:rFonts w:ascii="Arial" w:eastAsia="Times New Roman" w:hAnsi="Arial" w:cs="Arial"/>
          <w:color w:val="000000"/>
          <w:sz w:val="20"/>
          <w:szCs w:val="20"/>
          <w:lang w:eastAsia="en-IN"/>
        </w:rPr>
        <w:t xml:space="preserve"> and the amendments being made to the Master Direction are placed at </w:t>
      </w:r>
      <w:hyperlink r:id="rId64" w:anchor="ANN2" w:history="1">
        <w:r w:rsidRPr="00871678">
          <w:rPr>
            <w:rFonts w:ascii="Arial" w:eastAsia="Times New Roman" w:hAnsi="Arial" w:cs="Arial"/>
            <w:color w:val="0000FF"/>
            <w:sz w:val="20"/>
            <w:szCs w:val="20"/>
            <w:u w:val="single"/>
            <w:lang w:eastAsia="en-IN"/>
          </w:rPr>
          <w:t>Annex II</w:t>
        </w:r>
      </w:hyperlink>
      <w:r w:rsidRPr="00871678">
        <w:rPr>
          <w:rFonts w:ascii="Arial" w:eastAsia="Times New Roman" w:hAnsi="Arial" w:cs="Arial"/>
          <w:color w:val="000000"/>
          <w:sz w:val="20"/>
          <w:szCs w:val="20"/>
          <w:lang w:eastAsia="en-IN"/>
        </w:rPr>
        <w:t> herewith.</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4. These Directions will come into force with immediate effect and in supersession of the circulars listed at Appendix III of the Master Direction.</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5. For the purpose of this circular, Authorised Persons shall mean Authorised Dealer Category-I banks and Standalone Primary Dealers authorised as Authorised Dealer Category-III under Section 10 (1) of the FEMA, 1999.</w:t>
      </w:r>
    </w:p>
    <w:p w:rsidR="00871678" w:rsidRPr="00871678" w:rsidRDefault="00871678" w:rsidP="00871678">
      <w:pPr>
        <w:spacing w:before="100" w:beforeAutospacing="1" w:after="100" w:afterAutospacing="1" w:line="240" w:lineRule="auto"/>
        <w:jc w:val="both"/>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6. The directions contained in this circular have been issued under Section 45W of the Reserve Bank of India Act, 1934 and Sections 10(4) and 11(1) of the Foreign Exchange Management Act, 1999 (42 of 1999) and are without prejudice to permissions / approvals, if any, required under any other law.</w:t>
      </w:r>
    </w:p>
    <w:p w:rsidR="00871678" w:rsidRPr="00871678" w:rsidRDefault="00871678" w:rsidP="00871678">
      <w:pPr>
        <w:spacing w:before="100" w:beforeAutospacing="1" w:after="100" w:afterAutospacing="1" w:line="240" w:lineRule="auto"/>
        <w:jc w:val="right"/>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Yours faithfully,</w:t>
      </w:r>
    </w:p>
    <w:p w:rsidR="00871678" w:rsidRPr="00871678" w:rsidRDefault="00871678" w:rsidP="00871678">
      <w:pPr>
        <w:spacing w:before="100" w:beforeAutospacing="1" w:after="100" w:afterAutospacing="1" w:line="240" w:lineRule="auto"/>
        <w:jc w:val="right"/>
        <w:rPr>
          <w:rFonts w:ascii="Arial" w:eastAsia="Times New Roman" w:hAnsi="Arial" w:cs="Arial"/>
          <w:color w:val="000000"/>
          <w:sz w:val="20"/>
          <w:szCs w:val="20"/>
          <w:lang w:eastAsia="en-IN"/>
        </w:rPr>
      </w:pPr>
      <w:r w:rsidRPr="00871678">
        <w:rPr>
          <w:rFonts w:ascii="Arial" w:eastAsia="Times New Roman" w:hAnsi="Arial" w:cs="Arial"/>
          <w:color w:val="000000"/>
          <w:sz w:val="20"/>
          <w:szCs w:val="20"/>
          <w:lang w:eastAsia="en-IN"/>
        </w:rPr>
        <w:t xml:space="preserve">(Dimple </w:t>
      </w:r>
      <w:proofErr w:type="spellStart"/>
      <w:r w:rsidRPr="00871678">
        <w:rPr>
          <w:rFonts w:ascii="Arial" w:eastAsia="Times New Roman" w:hAnsi="Arial" w:cs="Arial"/>
          <w:color w:val="000000"/>
          <w:sz w:val="20"/>
          <w:szCs w:val="20"/>
          <w:lang w:eastAsia="en-IN"/>
        </w:rPr>
        <w:t>Bhandia</w:t>
      </w:r>
      <w:proofErr w:type="spellEnd"/>
      <w:r w:rsidRPr="00871678">
        <w:rPr>
          <w:rFonts w:ascii="Arial" w:eastAsia="Times New Roman" w:hAnsi="Arial" w:cs="Arial"/>
          <w:color w:val="000000"/>
          <w:sz w:val="20"/>
          <w:szCs w:val="20"/>
          <w:lang w:eastAsia="en-IN"/>
        </w:rPr>
        <w:t>)</w:t>
      </w:r>
      <w:r w:rsidRPr="00871678">
        <w:rPr>
          <w:rFonts w:ascii="Arial" w:eastAsia="Times New Roman" w:hAnsi="Arial" w:cs="Arial"/>
          <w:color w:val="000000"/>
          <w:sz w:val="20"/>
          <w:szCs w:val="20"/>
          <w:lang w:eastAsia="en-IN"/>
        </w:rPr>
        <w:br/>
        <w:t>Chief General Manager</w:t>
      </w:r>
    </w:p>
    <w:p w:rsidR="00871678" w:rsidRDefault="00871678">
      <w:r w:rsidRPr="00871678">
        <w:t>For more details, kindly refer:</w:t>
      </w:r>
    </w:p>
    <w:p w:rsidR="00871678" w:rsidRDefault="00871678">
      <w:hyperlink r:id="rId65" w:history="1">
        <w:r w:rsidRPr="00E71B8F">
          <w:rPr>
            <w:rStyle w:val="Hyperlink"/>
          </w:rPr>
          <w:t>https://www.rbi.org.in/Scripts/NotificationUser.aspx?Id=12680&amp;Mode=0</w:t>
        </w:r>
      </w:hyperlink>
      <w:r>
        <w:t xml:space="preserve"> </w:t>
      </w:r>
    </w:p>
    <w:p w:rsidR="009976FA" w:rsidRDefault="009976FA"/>
    <w:p w:rsidR="009976FA" w:rsidRDefault="009976FA"/>
    <w:p w:rsidR="009976FA" w:rsidRPr="009976FA" w:rsidRDefault="009976FA" w:rsidP="009976FA">
      <w:pPr>
        <w:spacing w:before="100" w:beforeAutospacing="1" w:after="100" w:afterAutospacing="1" w:line="240" w:lineRule="auto"/>
        <w:jc w:val="both"/>
        <w:rPr>
          <w:rFonts w:ascii="Arial" w:eastAsia="Times New Roman" w:hAnsi="Arial" w:cs="Arial"/>
          <w:b/>
          <w:bCs/>
          <w:color w:val="000000"/>
          <w:sz w:val="20"/>
          <w:szCs w:val="20"/>
          <w:lang w:eastAsia="en-IN"/>
        </w:rPr>
      </w:pPr>
      <w:r w:rsidRPr="009976FA">
        <w:rPr>
          <w:rFonts w:ascii="Arial" w:eastAsia="Times New Roman" w:hAnsi="Arial" w:cs="Arial"/>
          <w:b/>
          <w:bCs/>
          <w:color w:val="000000"/>
          <w:sz w:val="20"/>
          <w:szCs w:val="20"/>
          <w:lang w:eastAsia="en-IN"/>
        </w:rPr>
        <w:lastRenderedPageBreak/>
        <w:t>Master Direction – Reserve Bank of India (Margining for Non-Centrally Cleared OTC Derivatives) Directions, 2024</w:t>
      </w:r>
    </w:p>
    <w:p w:rsidR="009976FA" w:rsidRPr="009976FA" w:rsidRDefault="009976FA" w:rsidP="009976FA">
      <w:pPr>
        <w:spacing w:before="100" w:beforeAutospacing="1" w:after="100" w:afterAutospacing="1" w:line="240" w:lineRule="auto"/>
        <w:jc w:val="both"/>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RBI/FMRD/2024-25/117</w:t>
      </w:r>
      <w:r w:rsidRPr="009976FA">
        <w:rPr>
          <w:rFonts w:ascii="Arial" w:eastAsia="Times New Roman" w:hAnsi="Arial" w:cs="Arial"/>
          <w:color w:val="000000"/>
          <w:sz w:val="20"/>
          <w:szCs w:val="20"/>
          <w:lang w:eastAsia="en-IN"/>
        </w:rPr>
        <w:br/>
        <w:t>FMRD.DIRD.01/14.01.023/2024-25</w:t>
      </w:r>
    </w:p>
    <w:p w:rsidR="009976FA" w:rsidRPr="009976FA" w:rsidRDefault="009976FA" w:rsidP="009976FA">
      <w:pPr>
        <w:spacing w:before="100" w:beforeAutospacing="1" w:after="100" w:afterAutospacing="1" w:line="240" w:lineRule="auto"/>
        <w:jc w:val="right"/>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May 08, 2024</w:t>
      </w:r>
    </w:p>
    <w:p w:rsidR="009976FA" w:rsidRPr="009976FA" w:rsidRDefault="009976FA" w:rsidP="009976FA">
      <w:pPr>
        <w:spacing w:before="100" w:beforeAutospacing="1" w:after="100" w:afterAutospacing="1" w:line="240" w:lineRule="auto"/>
        <w:jc w:val="both"/>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To</w:t>
      </w:r>
    </w:p>
    <w:p w:rsidR="009976FA" w:rsidRPr="009976FA" w:rsidRDefault="009976FA" w:rsidP="009976FA">
      <w:pPr>
        <w:spacing w:before="100" w:beforeAutospacing="1" w:after="100" w:afterAutospacing="1" w:line="240" w:lineRule="auto"/>
        <w:jc w:val="both"/>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All eligible market participants</w:t>
      </w:r>
    </w:p>
    <w:p w:rsidR="009976FA" w:rsidRPr="009976FA" w:rsidRDefault="009976FA" w:rsidP="009976FA">
      <w:pPr>
        <w:spacing w:before="100" w:beforeAutospacing="1" w:after="100" w:afterAutospacing="1" w:line="240" w:lineRule="auto"/>
        <w:jc w:val="both"/>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Madam/Sir</w:t>
      </w:r>
    </w:p>
    <w:p w:rsidR="009976FA" w:rsidRPr="009976FA" w:rsidRDefault="009976FA" w:rsidP="009976FA">
      <w:pPr>
        <w:spacing w:before="100" w:beforeAutospacing="1" w:after="100" w:afterAutospacing="1" w:line="240" w:lineRule="auto"/>
        <w:jc w:val="both"/>
        <w:rPr>
          <w:rFonts w:ascii="Arial" w:eastAsia="Times New Roman" w:hAnsi="Arial" w:cs="Arial"/>
          <w:b/>
          <w:bCs/>
          <w:color w:val="000000"/>
          <w:sz w:val="20"/>
          <w:szCs w:val="20"/>
          <w:lang w:eastAsia="en-IN"/>
        </w:rPr>
      </w:pPr>
      <w:r w:rsidRPr="009976FA">
        <w:rPr>
          <w:rFonts w:ascii="Arial" w:eastAsia="Times New Roman" w:hAnsi="Arial" w:cs="Arial"/>
          <w:b/>
          <w:bCs/>
          <w:color w:val="000000"/>
          <w:sz w:val="20"/>
          <w:szCs w:val="20"/>
          <w:lang w:eastAsia="en-IN"/>
        </w:rPr>
        <w:t>Master Direction – Reserve Bank of India (Margining for Non-Centrally Cleared OTC Derivatives) Directions, 2024</w:t>
      </w:r>
    </w:p>
    <w:p w:rsidR="009976FA" w:rsidRPr="009976FA" w:rsidRDefault="009976FA" w:rsidP="009976FA">
      <w:pPr>
        <w:spacing w:before="100" w:beforeAutospacing="1" w:after="100" w:afterAutospacing="1" w:line="240" w:lineRule="auto"/>
        <w:jc w:val="both"/>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Please refer to Paragraph 10 of the </w:t>
      </w:r>
      <w:hyperlink r:id="rId66" w:tgtFrame="_blank" w:history="1">
        <w:r w:rsidRPr="009976FA">
          <w:rPr>
            <w:rFonts w:ascii="Arial" w:eastAsia="Times New Roman" w:hAnsi="Arial" w:cs="Arial"/>
            <w:color w:val="0000FF"/>
            <w:sz w:val="20"/>
            <w:szCs w:val="20"/>
            <w:u w:val="single"/>
            <w:lang w:eastAsia="en-IN"/>
          </w:rPr>
          <w:t>Statement on Developmental and Regulatory Policies</w:t>
        </w:r>
      </w:hyperlink>
      <w:r w:rsidRPr="009976FA">
        <w:rPr>
          <w:rFonts w:ascii="Arial" w:eastAsia="Times New Roman" w:hAnsi="Arial" w:cs="Arial"/>
          <w:color w:val="000000"/>
          <w:sz w:val="20"/>
          <w:szCs w:val="20"/>
          <w:lang w:eastAsia="en-IN"/>
        </w:rPr>
        <w:t> announced as a part of the </w:t>
      </w:r>
      <w:hyperlink r:id="rId67" w:tgtFrame="_blank" w:history="1">
        <w:r w:rsidRPr="009976FA">
          <w:rPr>
            <w:rFonts w:ascii="Arial" w:eastAsia="Times New Roman" w:hAnsi="Arial" w:cs="Arial"/>
            <w:color w:val="0000FF"/>
            <w:sz w:val="20"/>
            <w:szCs w:val="20"/>
            <w:u w:val="single"/>
            <w:lang w:eastAsia="en-IN"/>
          </w:rPr>
          <w:t>Bi-monthly Monetary Policy Statement for 2019-20 dated February 06, 2020</w:t>
        </w:r>
      </w:hyperlink>
      <w:r w:rsidRPr="009976FA">
        <w:rPr>
          <w:rFonts w:ascii="Arial" w:eastAsia="Times New Roman" w:hAnsi="Arial" w:cs="Arial"/>
          <w:color w:val="000000"/>
          <w:sz w:val="20"/>
          <w:szCs w:val="20"/>
          <w:lang w:eastAsia="en-IN"/>
        </w:rPr>
        <w:t>, on issuance of the Directions regarding exchange of variation margin (VM) and initial margin (IM) for non-centrally cleared derivatives (NCCDs).</w:t>
      </w:r>
    </w:p>
    <w:p w:rsidR="009976FA" w:rsidRPr="009976FA" w:rsidRDefault="009976FA" w:rsidP="009976FA">
      <w:pPr>
        <w:spacing w:before="100" w:beforeAutospacing="1" w:after="100" w:afterAutospacing="1" w:line="240" w:lineRule="auto"/>
        <w:jc w:val="both"/>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2. The </w:t>
      </w:r>
      <w:hyperlink r:id="rId68" w:tgtFrame="_blank" w:history="1">
        <w:r w:rsidRPr="009976FA">
          <w:rPr>
            <w:rFonts w:ascii="Arial" w:eastAsia="Times New Roman" w:hAnsi="Arial" w:cs="Arial"/>
            <w:color w:val="0000FF"/>
            <w:sz w:val="20"/>
            <w:szCs w:val="20"/>
            <w:u w:val="single"/>
            <w:lang w:eastAsia="en-IN"/>
          </w:rPr>
          <w:t>Master Direction – Reserve Bank of India (Variation Margin) Directions, 2022 was issued on June 01, 2022</w:t>
        </w:r>
      </w:hyperlink>
      <w:r w:rsidRPr="009976FA">
        <w:rPr>
          <w:rFonts w:ascii="Arial" w:eastAsia="Times New Roman" w:hAnsi="Arial" w:cs="Arial"/>
          <w:color w:val="000000"/>
          <w:sz w:val="20"/>
          <w:szCs w:val="20"/>
          <w:lang w:eastAsia="en-IN"/>
        </w:rPr>
        <w:t> and the </w:t>
      </w:r>
      <w:hyperlink r:id="rId69" w:tgtFrame="_blank" w:history="1">
        <w:r w:rsidRPr="009976FA">
          <w:rPr>
            <w:rFonts w:ascii="Arial" w:eastAsia="Times New Roman" w:hAnsi="Arial" w:cs="Arial"/>
            <w:color w:val="0000FF"/>
            <w:sz w:val="20"/>
            <w:szCs w:val="20"/>
            <w:u w:val="single"/>
            <w:lang w:eastAsia="en-IN"/>
          </w:rPr>
          <w:t>draft Directions prescribing guidelines for exchange of initial margin for NCCDs were issued on June 16, 2022</w:t>
        </w:r>
      </w:hyperlink>
      <w:r w:rsidRPr="009976FA">
        <w:rPr>
          <w:rFonts w:ascii="Arial" w:eastAsia="Times New Roman" w:hAnsi="Arial" w:cs="Arial"/>
          <w:color w:val="000000"/>
          <w:sz w:val="20"/>
          <w:szCs w:val="20"/>
          <w:lang w:eastAsia="en-IN"/>
        </w:rPr>
        <w:t xml:space="preserve">. Based on the feedback received from the market participants, the draft Directions have since been finalised. The Master Direction – Reserve Bank of India (Margining for Non-Centrally Cleared OTC Derivatives) Directions, 2024 </w:t>
      </w:r>
      <w:proofErr w:type="gramStart"/>
      <w:r w:rsidRPr="009976FA">
        <w:rPr>
          <w:rFonts w:ascii="Arial" w:eastAsia="Times New Roman" w:hAnsi="Arial" w:cs="Arial"/>
          <w:color w:val="000000"/>
          <w:sz w:val="20"/>
          <w:szCs w:val="20"/>
          <w:lang w:eastAsia="en-IN"/>
        </w:rPr>
        <w:t>is </w:t>
      </w:r>
      <w:hyperlink r:id="rId70" w:anchor="MD" w:history="1">
        <w:r w:rsidRPr="009976FA">
          <w:rPr>
            <w:rFonts w:ascii="Arial" w:eastAsia="Times New Roman" w:hAnsi="Arial" w:cs="Arial"/>
            <w:color w:val="0000FF"/>
            <w:sz w:val="20"/>
            <w:szCs w:val="20"/>
            <w:u w:val="single"/>
            <w:lang w:eastAsia="en-IN"/>
          </w:rPr>
          <w:t>enclosed</w:t>
        </w:r>
        <w:proofErr w:type="gramEnd"/>
      </w:hyperlink>
      <w:r w:rsidRPr="009976FA">
        <w:rPr>
          <w:rFonts w:ascii="Arial" w:eastAsia="Times New Roman" w:hAnsi="Arial" w:cs="Arial"/>
          <w:color w:val="000000"/>
          <w:sz w:val="20"/>
          <w:szCs w:val="20"/>
          <w:lang w:eastAsia="en-IN"/>
        </w:rPr>
        <w:t> herewith.</w:t>
      </w:r>
    </w:p>
    <w:p w:rsidR="009976FA" w:rsidRPr="009976FA" w:rsidRDefault="009976FA" w:rsidP="009976FA">
      <w:pPr>
        <w:spacing w:before="100" w:beforeAutospacing="1" w:after="100" w:afterAutospacing="1" w:line="240" w:lineRule="auto"/>
        <w:jc w:val="both"/>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3. These Directions have been issued in exercise of the powers conferred under Section 45W of the Reserve Bank of India Act, 1934 and Sections 10(4) and 11(1) of the Foreign Exchange Management Act, 1999 (42 of 1999) and of all the powers enabling it in this behalf.</w:t>
      </w:r>
    </w:p>
    <w:p w:rsidR="009976FA" w:rsidRPr="009976FA" w:rsidRDefault="009976FA" w:rsidP="009976FA">
      <w:pPr>
        <w:spacing w:before="100" w:beforeAutospacing="1" w:after="100" w:afterAutospacing="1" w:line="240" w:lineRule="auto"/>
        <w:jc w:val="right"/>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Yours faithfully,</w:t>
      </w:r>
    </w:p>
    <w:p w:rsidR="009976FA" w:rsidRPr="009976FA" w:rsidRDefault="009976FA" w:rsidP="009976FA">
      <w:pPr>
        <w:spacing w:before="100" w:beforeAutospacing="1" w:after="100" w:afterAutospacing="1" w:line="240" w:lineRule="auto"/>
        <w:jc w:val="right"/>
        <w:rPr>
          <w:rFonts w:ascii="Arial" w:eastAsia="Times New Roman" w:hAnsi="Arial" w:cs="Arial"/>
          <w:color w:val="000000"/>
          <w:sz w:val="20"/>
          <w:szCs w:val="20"/>
          <w:lang w:eastAsia="en-IN"/>
        </w:rPr>
      </w:pPr>
      <w:r w:rsidRPr="009976FA">
        <w:rPr>
          <w:rFonts w:ascii="Arial" w:eastAsia="Times New Roman" w:hAnsi="Arial" w:cs="Arial"/>
          <w:color w:val="000000"/>
          <w:sz w:val="20"/>
          <w:szCs w:val="20"/>
          <w:lang w:eastAsia="en-IN"/>
        </w:rPr>
        <w:t xml:space="preserve">(Dimple </w:t>
      </w:r>
      <w:proofErr w:type="spellStart"/>
      <w:r w:rsidRPr="009976FA">
        <w:rPr>
          <w:rFonts w:ascii="Arial" w:eastAsia="Times New Roman" w:hAnsi="Arial" w:cs="Arial"/>
          <w:color w:val="000000"/>
          <w:sz w:val="20"/>
          <w:szCs w:val="20"/>
          <w:lang w:eastAsia="en-IN"/>
        </w:rPr>
        <w:t>Bhandia</w:t>
      </w:r>
      <w:proofErr w:type="spellEnd"/>
      <w:r w:rsidRPr="009976FA">
        <w:rPr>
          <w:rFonts w:ascii="Arial" w:eastAsia="Times New Roman" w:hAnsi="Arial" w:cs="Arial"/>
          <w:color w:val="000000"/>
          <w:sz w:val="20"/>
          <w:szCs w:val="20"/>
          <w:lang w:eastAsia="en-IN"/>
        </w:rPr>
        <w:t>)</w:t>
      </w:r>
      <w:r w:rsidRPr="009976FA">
        <w:rPr>
          <w:rFonts w:ascii="Arial" w:eastAsia="Times New Roman" w:hAnsi="Arial" w:cs="Arial"/>
          <w:color w:val="000000"/>
          <w:sz w:val="20"/>
          <w:szCs w:val="20"/>
          <w:lang w:eastAsia="en-IN"/>
        </w:rPr>
        <w:br/>
        <w:t>Chief General Manager</w:t>
      </w:r>
    </w:p>
    <w:p w:rsidR="009976FA" w:rsidRDefault="009976FA">
      <w:r w:rsidRPr="009976FA">
        <w:t>For more details, kindly refer:</w:t>
      </w:r>
    </w:p>
    <w:p w:rsidR="009976FA" w:rsidRDefault="009976FA">
      <w:hyperlink r:id="rId71" w:history="1">
        <w:r w:rsidRPr="00E71B8F">
          <w:rPr>
            <w:rStyle w:val="Hyperlink"/>
          </w:rPr>
          <w:t>https://www.rbi.org.in/Scripts/NotificationUser.aspx?Id=12682&amp;Mode=0</w:t>
        </w:r>
      </w:hyperlink>
      <w:r>
        <w:t xml:space="preserve"> </w:t>
      </w:r>
    </w:p>
    <w:p w:rsidR="006872A9" w:rsidRDefault="006872A9"/>
    <w:p w:rsidR="006872A9" w:rsidRDefault="006872A9"/>
    <w:p w:rsidR="006872A9" w:rsidRDefault="006872A9"/>
    <w:p w:rsidR="006872A9" w:rsidRDefault="006872A9"/>
    <w:p w:rsidR="006872A9" w:rsidRDefault="006872A9"/>
    <w:p w:rsidR="006872A9" w:rsidRDefault="006872A9"/>
    <w:p w:rsidR="006872A9" w:rsidRDefault="006872A9"/>
    <w:p w:rsidR="006872A9" w:rsidRDefault="006872A9"/>
    <w:p w:rsidR="006872A9" w:rsidRDefault="006872A9"/>
    <w:p w:rsidR="006872A9" w:rsidRPr="006872A9" w:rsidRDefault="006872A9" w:rsidP="006872A9">
      <w:pPr>
        <w:spacing w:before="100" w:beforeAutospacing="1" w:after="100" w:afterAutospacing="1" w:line="240" w:lineRule="auto"/>
        <w:jc w:val="both"/>
        <w:rPr>
          <w:rFonts w:ascii="Arial" w:eastAsia="Times New Roman" w:hAnsi="Arial" w:cs="Arial"/>
          <w:b/>
          <w:bCs/>
          <w:color w:val="000000"/>
          <w:sz w:val="20"/>
          <w:szCs w:val="20"/>
          <w:lang w:eastAsia="en-IN"/>
        </w:rPr>
      </w:pPr>
      <w:r w:rsidRPr="006872A9">
        <w:rPr>
          <w:rFonts w:ascii="Arial" w:eastAsia="Times New Roman" w:hAnsi="Arial" w:cs="Arial"/>
          <w:b/>
          <w:bCs/>
          <w:color w:val="000000"/>
          <w:sz w:val="20"/>
          <w:szCs w:val="20"/>
          <w:lang w:eastAsia="en-IN"/>
        </w:rPr>
        <w:lastRenderedPageBreak/>
        <w:t>Priority Sector Lending – Amendments to the Master Directions</w:t>
      </w:r>
    </w:p>
    <w:p w:rsidR="006872A9" w:rsidRPr="006872A9" w:rsidRDefault="006872A9" w:rsidP="006872A9">
      <w:pPr>
        <w:spacing w:before="100" w:beforeAutospacing="1" w:after="100" w:afterAutospacing="1" w:line="240" w:lineRule="auto"/>
        <w:jc w:val="both"/>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RBI/2024-25/44</w:t>
      </w:r>
      <w:r w:rsidRPr="006872A9">
        <w:rPr>
          <w:rFonts w:ascii="Arial" w:eastAsia="Times New Roman" w:hAnsi="Arial" w:cs="Arial"/>
          <w:color w:val="000000"/>
          <w:sz w:val="20"/>
          <w:szCs w:val="20"/>
          <w:lang w:eastAsia="en-IN"/>
        </w:rPr>
        <w:br/>
        <w:t>FIDD.CO.PSD.BC.No.7/04.09.01/2024-25</w:t>
      </w:r>
    </w:p>
    <w:p w:rsidR="006872A9" w:rsidRPr="006872A9" w:rsidRDefault="006872A9" w:rsidP="006872A9">
      <w:pPr>
        <w:spacing w:before="100" w:beforeAutospacing="1" w:after="100" w:afterAutospacing="1" w:line="240" w:lineRule="auto"/>
        <w:jc w:val="right"/>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June 21, 2024</w:t>
      </w:r>
    </w:p>
    <w:p w:rsidR="006872A9" w:rsidRPr="006872A9" w:rsidRDefault="006872A9" w:rsidP="006872A9">
      <w:pPr>
        <w:spacing w:before="100" w:beforeAutospacing="1" w:after="100" w:afterAutospacing="1" w:line="240" w:lineRule="auto"/>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The Chairman / Managing Director/</w:t>
      </w:r>
      <w:r w:rsidRPr="006872A9">
        <w:rPr>
          <w:rFonts w:ascii="Arial" w:eastAsia="Times New Roman" w:hAnsi="Arial" w:cs="Arial"/>
          <w:color w:val="000000"/>
          <w:sz w:val="20"/>
          <w:szCs w:val="20"/>
          <w:lang w:eastAsia="en-IN"/>
        </w:rPr>
        <w:br/>
        <w:t>Chief Executive Officer</w:t>
      </w:r>
      <w:r w:rsidRPr="006872A9">
        <w:rPr>
          <w:rFonts w:ascii="Arial" w:eastAsia="Times New Roman" w:hAnsi="Arial" w:cs="Arial"/>
          <w:color w:val="000000"/>
          <w:sz w:val="20"/>
          <w:szCs w:val="20"/>
          <w:lang w:eastAsia="en-IN"/>
        </w:rPr>
        <w:br/>
        <w:t>[All Commercial Banks including Regional Rural Banks,</w:t>
      </w:r>
      <w:r w:rsidRPr="006872A9">
        <w:rPr>
          <w:rFonts w:ascii="Arial" w:eastAsia="Times New Roman" w:hAnsi="Arial" w:cs="Arial"/>
          <w:color w:val="000000"/>
          <w:sz w:val="20"/>
          <w:szCs w:val="20"/>
          <w:lang w:eastAsia="en-IN"/>
        </w:rPr>
        <w:br/>
        <w:t>Small Finance Banks, Local Area Banks and</w:t>
      </w:r>
      <w:r w:rsidRPr="006872A9">
        <w:rPr>
          <w:rFonts w:ascii="Arial" w:eastAsia="Times New Roman" w:hAnsi="Arial" w:cs="Arial"/>
          <w:color w:val="000000"/>
          <w:sz w:val="20"/>
          <w:szCs w:val="20"/>
          <w:lang w:eastAsia="en-IN"/>
        </w:rPr>
        <w:br/>
        <w:t>Primary (Urban) Co-operative Banks other than Salary Earners’ Banks]</w:t>
      </w:r>
    </w:p>
    <w:p w:rsidR="006872A9" w:rsidRPr="006872A9" w:rsidRDefault="006872A9" w:rsidP="006872A9">
      <w:pPr>
        <w:spacing w:before="100" w:beforeAutospacing="1" w:after="100" w:afterAutospacing="1" w:line="240" w:lineRule="auto"/>
        <w:jc w:val="both"/>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Madam/ Dear Sir,</w:t>
      </w:r>
    </w:p>
    <w:p w:rsidR="006872A9" w:rsidRPr="006872A9" w:rsidRDefault="006872A9" w:rsidP="006872A9">
      <w:pPr>
        <w:spacing w:before="100" w:beforeAutospacing="1" w:after="100" w:afterAutospacing="1" w:line="240" w:lineRule="auto"/>
        <w:jc w:val="both"/>
        <w:rPr>
          <w:rFonts w:ascii="Arial" w:eastAsia="Times New Roman" w:hAnsi="Arial" w:cs="Arial"/>
          <w:b/>
          <w:bCs/>
          <w:color w:val="000000"/>
          <w:sz w:val="20"/>
          <w:szCs w:val="20"/>
          <w:lang w:eastAsia="en-IN"/>
        </w:rPr>
      </w:pPr>
      <w:r w:rsidRPr="006872A9">
        <w:rPr>
          <w:rFonts w:ascii="Arial" w:eastAsia="Times New Roman" w:hAnsi="Arial" w:cs="Arial"/>
          <w:b/>
          <w:bCs/>
          <w:color w:val="000000"/>
          <w:sz w:val="20"/>
          <w:szCs w:val="20"/>
          <w:lang w:eastAsia="en-IN"/>
        </w:rPr>
        <w:t>Priority Sector Lending – Amendments to the Master Directions</w:t>
      </w:r>
    </w:p>
    <w:p w:rsidR="006872A9" w:rsidRPr="006872A9" w:rsidRDefault="006872A9" w:rsidP="006872A9">
      <w:pPr>
        <w:spacing w:before="100" w:beforeAutospacing="1" w:after="100" w:afterAutospacing="1" w:line="240" w:lineRule="auto"/>
        <w:jc w:val="both"/>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Please refer to </w:t>
      </w:r>
      <w:hyperlink r:id="rId72" w:tgtFrame="_blank" w:history="1">
        <w:r w:rsidRPr="006872A9">
          <w:rPr>
            <w:rFonts w:ascii="Arial" w:eastAsia="Times New Roman" w:hAnsi="Arial" w:cs="Arial"/>
            <w:color w:val="0000FF"/>
            <w:sz w:val="20"/>
            <w:szCs w:val="20"/>
            <w:u w:val="single"/>
            <w:lang w:eastAsia="en-IN"/>
          </w:rPr>
          <w:t>Master Directions (MD) on Priority Sector Lending (PSL) dated September 04, 2020</w:t>
        </w:r>
      </w:hyperlink>
      <w:r w:rsidRPr="006872A9">
        <w:rPr>
          <w:rFonts w:ascii="Arial" w:eastAsia="Times New Roman" w:hAnsi="Arial" w:cs="Arial"/>
          <w:color w:val="000000"/>
          <w:sz w:val="20"/>
          <w:szCs w:val="20"/>
          <w:lang w:eastAsia="en-IN"/>
        </w:rPr>
        <w:t> as updated from time to time. The following paras of the Directions stand amended in view of factors detailed thereunder.</w:t>
      </w:r>
    </w:p>
    <w:p w:rsidR="006872A9" w:rsidRPr="006872A9" w:rsidRDefault="006872A9" w:rsidP="006872A9">
      <w:pPr>
        <w:spacing w:before="100" w:beforeAutospacing="1" w:after="100" w:afterAutospacing="1" w:line="240" w:lineRule="auto"/>
        <w:jc w:val="both"/>
        <w:rPr>
          <w:rFonts w:ascii="Arial" w:eastAsia="Times New Roman" w:hAnsi="Arial" w:cs="Arial"/>
          <w:b/>
          <w:bCs/>
          <w:color w:val="000000"/>
          <w:sz w:val="20"/>
          <w:szCs w:val="20"/>
          <w:lang w:eastAsia="en-IN"/>
        </w:rPr>
      </w:pPr>
      <w:r w:rsidRPr="006872A9">
        <w:rPr>
          <w:rFonts w:ascii="Arial" w:eastAsia="Times New Roman" w:hAnsi="Arial" w:cs="Arial"/>
          <w:b/>
          <w:bCs/>
          <w:color w:val="000000"/>
          <w:sz w:val="20"/>
          <w:szCs w:val="20"/>
          <w:lang w:eastAsia="en-IN"/>
        </w:rPr>
        <w:t xml:space="preserve">2. Para </w:t>
      </w:r>
      <w:proofErr w:type="gramStart"/>
      <w:r w:rsidRPr="006872A9">
        <w:rPr>
          <w:rFonts w:ascii="Arial" w:eastAsia="Times New Roman" w:hAnsi="Arial" w:cs="Arial"/>
          <w:b/>
          <w:bCs/>
          <w:color w:val="000000"/>
          <w:sz w:val="20"/>
          <w:szCs w:val="20"/>
          <w:lang w:eastAsia="en-IN"/>
        </w:rPr>
        <w:t>7</w:t>
      </w:r>
      <w:proofErr w:type="gramEnd"/>
      <w:r w:rsidRPr="006872A9">
        <w:rPr>
          <w:rFonts w:ascii="Arial" w:eastAsia="Times New Roman" w:hAnsi="Arial" w:cs="Arial"/>
          <w:b/>
          <w:bCs/>
          <w:color w:val="000000"/>
          <w:sz w:val="20"/>
          <w:szCs w:val="20"/>
          <w:lang w:eastAsia="en-IN"/>
        </w:rPr>
        <w:t xml:space="preserve"> - Adjustments for weights in PSL Achievement:</w:t>
      </w:r>
    </w:p>
    <w:p w:rsidR="006872A9" w:rsidRPr="006872A9" w:rsidRDefault="006872A9" w:rsidP="006872A9">
      <w:pPr>
        <w:spacing w:before="100" w:beforeAutospacing="1" w:after="100" w:afterAutospacing="1" w:line="240" w:lineRule="auto"/>
        <w:jc w:val="both"/>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sidRPr="006872A9">
        <w:rPr>
          <w:rFonts w:ascii="Arial" w:eastAsia="Times New Roman" w:hAnsi="Arial" w:cs="Arial"/>
          <w:color w:val="000000"/>
          <w:sz w:val="20"/>
          <w:szCs w:val="20"/>
          <w:lang w:eastAsia="en-IN"/>
        </w:rPr>
        <w:t>have been updated</w:t>
      </w:r>
      <w:proofErr w:type="gramEnd"/>
      <w:r w:rsidRPr="006872A9">
        <w:rPr>
          <w:rFonts w:ascii="Arial" w:eastAsia="Times New Roman" w:hAnsi="Arial" w:cs="Arial"/>
          <w:color w:val="000000"/>
          <w:sz w:val="20"/>
          <w:szCs w:val="20"/>
          <w:lang w:eastAsia="en-IN"/>
        </w:rPr>
        <w:t xml:space="preserve">. These lists will remain valid until FY 2026-27 and </w:t>
      </w:r>
      <w:proofErr w:type="gramStart"/>
      <w:r w:rsidRPr="006872A9">
        <w:rPr>
          <w:rFonts w:ascii="Arial" w:eastAsia="Times New Roman" w:hAnsi="Arial" w:cs="Arial"/>
          <w:color w:val="000000"/>
          <w:sz w:val="20"/>
          <w:szCs w:val="20"/>
          <w:lang w:eastAsia="en-IN"/>
        </w:rPr>
        <w:t>will be reviewed</w:t>
      </w:r>
      <w:proofErr w:type="gramEnd"/>
      <w:r w:rsidRPr="006872A9">
        <w:rPr>
          <w:rFonts w:ascii="Arial" w:eastAsia="Times New Roman" w:hAnsi="Arial" w:cs="Arial"/>
          <w:color w:val="000000"/>
          <w:sz w:val="20"/>
          <w:szCs w:val="20"/>
          <w:lang w:eastAsia="en-IN"/>
        </w:rPr>
        <w:t xml:space="preserve"> thereafter. </w:t>
      </w:r>
      <w:proofErr w:type="gramStart"/>
      <w:r w:rsidRPr="006872A9">
        <w:rPr>
          <w:rFonts w:ascii="Arial" w:eastAsia="Times New Roman" w:hAnsi="Arial" w:cs="Arial"/>
          <w:color w:val="000000"/>
          <w:sz w:val="20"/>
          <w:szCs w:val="20"/>
          <w:lang w:eastAsia="en-IN"/>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sidRPr="006872A9">
        <w:rPr>
          <w:rFonts w:ascii="Arial" w:eastAsia="Times New Roman" w:hAnsi="Arial" w:cs="Arial"/>
          <w:color w:val="000000"/>
          <w:sz w:val="20"/>
          <w:szCs w:val="20"/>
          <w:lang w:eastAsia="en-IN"/>
        </w:rPr>
        <w:t xml:space="preserve"> Therefore, </w:t>
      </w:r>
      <w:hyperlink r:id="rId73" w:anchor="Adjustments" w:tgtFrame="_blank" w:history="1">
        <w:r w:rsidRPr="006872A9">
          <w:rPr>
            <w:rFonts w:ascii="Arial" w:eastAsia="Times New Roman" w:hAnsi="Arial" w:cs="Arial"/>
            <w:color w:val="0000FF"/>
            <w:sz w:val="20"/>
            <w:szCs w:val="20"/>
            <w:u w:val="single"/>
            <w:lang w:eastAsia="en-IN"/>
          </w:rPr>
          <w:t xml:space="preserve">para </w:t>
        </w:r>
        <w:proofErr w:type="gramStart"/>
        <w:r w:rsidRPr="006872A9">
          <w:rPr>
            <w:rFonts w:ascii="Arial" w:eastAsia="Times New Roman" w:hAnsi="Arial" w:cs="Arial"/>
            <w:color w:val="0000FF"/>
            <w:sz w:val="20"/>
            <w:szCs w:val="20"/>
            <w:u w:val="single"/>
            <w:lang w:eastAsia="en-IN"/>
          </w:rPr>
          <w:t>7</w:t>
        </w:r>
        <w:proofErr w:type="gramEnd"/>
        <w:r w:rsidRPr="006872A9">
          <w:rPr>
            <w:rFonts w:ascii="Arial" w:eastAsia="Times New Roman" w:hAnsi="Arial" w:cs="Arial"/>
            <w:color w:val="0000FF"/>
            <w:sz w:val="20"/>
            <w:szCs w:val="20"/>
            <w:u w:val="single"/>
            <w:lang w:eastAsia="en-IN"/>
          </w:rPr>
          <w:t xml:space="preserve"> of the MD on PSL</w:t>
        </w:r>
      </w:hyperlink>
      <w:r w:rsidRPr="006872A9">
        <w:rPr>
          <w:rFonts w:ascii="Arial" w:eastAsia="Times New Roman" w:hAnsi="Arial" w:cs="Arial"/>
          <w:color w:val="000000"/>
          <w:sz w:val="20"/>
          <w:szCs w:val="20"/>
          <w:lang w:eastAsia="en-IN"/>
        </w:rPr>
        <w:t> has been updated as mentioned above.</w:t>
      </w:r>
    </w:p>
    <w:p w:rsidR="006872A9" w:rsidRPr="006872A9" w:rsidRDefault="006872A9" w:rsidP="006872A9">
      <w:pPr>
        <w:spacing w:before="100" w:beforeAutospacing="1" w:after="100" w:afterAutospacing="1" w:line="240" w:lineRule="auto"/>
        <w:jc w:val="both"/>
        <w:rPr>
          <w:rFonts w:ascii="Arial" w:eastAsia="Times New Roman" w:hAnsi="Arial" w:cs="Arial"/>
          <w:b/>
          <w:bCs/>
          <w:color w:val="000000"/>
          <w:sz w:val="20"/>
          <w:szCs w:val="20"/>
          <w:lang w:eastAsia="en-IN"/>
        </w:rPr>
      </w:pPr>
      <w:r w:rsidRPr="006872A9">
        <w:rPr>
          <w:rFonts w:ascii="Arial" w:eastAsia="Times New Roman" w:hAnsi="Arial" w:cs="Arial"/>
          <w:b/>
          <w:bCs/>
          <w:color w:val="000000"/>
          <w:sz w:val="20"/>
          <w:szCs w:val="20"/>
          <w:lang w:eastAsia="en-IN"/>
        </w:rPr>
        <w:t xml:space="preserve">3. Para </w:t>
      </w:r>
      <w:proofErr w:type="gramStart"/>
      <w:r w:rsidRPr="006872A9">
        <w:rPr>
          <w:rFonts w:ascii="Arial" w:eastAsia="Times New Roman" w:hAnsi="Arial" w:cs="Arial"/>
          <w:b/>
          <w:bCs/>
          <w:color w:val="000000"/>
          <w:sz w:val="20"/>
          <w:szCs w:val="20"/>
          <w:lang w:eastAsia="en-IN"/>
        </w:rPr>
        <w:t>9</w:t>
      </w:r>
      <w:proofErr w:type="gramEnd"/>
      <w:r w:rsidRPr="006872A9">
        <w:rPr>
          <w:rFonts w:ascii="Arial" w:eastAsia="Times New Roman" w:hAnsi="Arial" w:cs="Arial"/>
          <w:b/>
          <w:bCs/>
          <w:color w:val="000000"/>
          <w:sz w:val="20"/>
          <w:szCs w:val="20"/>
          <w:lang w:eastAsia="en-IN"/>
        </w:rPr>
        <w:t xml:space="preserve"> - Micro, Small &amp; Medium Enterprises:</w:t>
      </w:r>
    </w:p>
    <w:p w:rsidR="006872A9" w:rsidRPr="006872A9" w:rsidRDefault="006872A9" w:rsidP="006872A9">
      <w:pPr>
        <w:spacing w:before="100" w:beforeAutospacing="1" w:after="100" w:afterAutospacing="1" w:line="240" w:lineRule="auto"/>
        <w:jc w:val="both"/>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 xml:space="preserve">The definition of MSMEs </w:t>
      </w:r>
      <w:proofErr w:type="gramStart"/>
      <w:r w:rsidRPr="006872A9">
        <w:rPr>
          <w:rFonts w:ascii="Arial" w:eastAsia="Times New Roman" w:hAnsi="Arial" w:cs="Arial"/>
          <w:color w:val="000000"/>
          <w:sz w:val="20"/>
          <w:szCs w:val="20"/>
          <w:lang w:eastAsia="en-IN"/>
        </w:rPr>
        <w:t>has been referenced</w:t>
      </w:r>
      <w:proofErr w:type="gramEnd"/>
      <w:r w:rsidRPr="006872A9">
        <w:rPr>
          <w:rFonts w:ascii="Arial" w:eastAsia="Times New Roman" w:hAnsi="Arial" w:cs="Arial"/>
          <w:color w:val="000000"/>
          <w:sz w:val="20"/>
          <w:szCs w:val="20"/>
          <w:lang w:eastAsia="en-IN"/>
        </w:rPr>
        <w:t xml:space="preserve"> to the </w:t>
      </w:r>
      <w:hyperlink r:id="rId74" w:tgtFrame="_blank" w:history="1">
        <w:r w:rsidRPr="006872A9">
          <w:rPr>
            <w:rFonts w:ascii="Arial" w:eastAsia="Times New Roman" w:hAnsi="Arial" w:cs="Arial"/>
            <w:color w:val="0000FF"/>
            <w:sz w:val="20"/>
            <w:szCs w:val="20"/>
            <w:u w:val="single"/>
            <w:lang w:eastAsia="en-IN"/>
          </w:rPr>
          <w:t>Master Direction - Lending to Micro, Small &amp; Medium Enterprises (MSME) Sector</w:t>
        </w:r>
      </w:hyperlink>
      <w:r w:rsidRPr="006872A9">
        <w:rPr>
          <w:rFonts w:ascii="Arial" w:eastAsia="Times New Roman" w:hAnsi="Arial" w:cs="Arial"/>
          <w:color w:val="000000"/>
          <w:sz w:val="20"/>
          <w:szCs w:val="20"/>
          <w:lang w:eastAsia="en-IN"/>
        </w:rPr>
        <w:t>, for clarity.</w:t>
      </w:r>
    </w:p>
    <w:p w:rsidR="006872A9" w:rsidRPr="006872A9" w:rsidRDefault="006872A9" w:rsidP="006872A9">
      <w:pPr>
        <w:spacing w:before="100" w:beforeAutospacing="1" w:after="100" w:afterAutospacing="1" w:line="240" w:lineRule="auto"/>
        <w:jc w:val="both"/>
        <w:rPr>
          <w:rFonts w:ascii="Arial" w:eastAsia="Times New Roman" w:hAnsi="Arial" w:cs="Arial"/>
          <w:b/>
          <w:bCs/>
          <w:color w:val="000000"/>
          <w:sz w:val="20"/>
          <w:szCs w:val="20"/>
          <w:lang w:eastAsia="en-IN"/>
        </w:rPr>
      </w:pPr>
      <w:r w:rsidRPr="006872A9">
        <w:rPr>
          <w:rFonts w:ascii="Arial" w:eastAsia="Times New Roman" w:hAnsi="Arial" w:cs="Arial"/>
          <w:b/>
          <w:bCs/>
          <w:color w:val="000000"/>
          <w:sz w:val="20"/>
          <w:szCs w:val="20"/>
          <w:lang w:eastAsia="en-IN"/>
        </w:rPr>
        <w:t xml:space="preserve">4. Para 27 - Monitoring of Priority Sector </w:t>
      </w:r>
      <w:proofErr w:type="gramStart"/>
      <w:r w:rsidRPr="006872A9">
        <w:rPr>
          <w:rFonts w:ascii="Arial" w:eastAsia="Times New Roman" w:hAnsi="Arial" w:cs="Arial"/>
          <w:b/>
          <w:bCs/>
          <w:color w:val="000000"/>
          <w:sz w:val="20"/>
          <w:szCs w:val="20"/>
          <w:lang w:eastAsia="en-IN"/>
        </w:rPr>
        <w:t>Lending</w:t>
      </w:r>
      <w:proofErr w:type="gramEnd"/>
      <w:r w:rsidRPr="006872A9">
        <w:rPr>
          <w:rFonts w:ascii="Arial" w:eastAsia="Times New Roman" w:hAnsi="Arial" w:cs="Arial"/>
          <w:b/>
          <w:bCs/>
          <w:color w:val="000000"/>
          <w:sz w:val="20"/>
          <w:szCs w:val="20"/>
          <w:lang w:eastAsia="en-IN"/>
        </w:rPr>
        <w:t xml:space="preserve"> targets:</w:t>
      </w:r>
    </w:p>
    <w:p w:rsidR="006872A9" w:rsidRPr="006872A9" w:rsidRDefault="006872A9" w:rsidP="006872A9">
      <w:pPr>
        <w:spacing w:before="100" w:beforeAutospacing="1" w:after="100" w:afterAutospacing="1" w:line="240" w:lineRule="auto"/>
        <w:jc w:val="both"/>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 xml:space="preserve">The MD specifies that UCBs shall furnish data on priority sector advances in the reporting formats ‘Statement I’ and ‘Statement II (Part A to D)’ at quarterly and annual intervals, to the Regional Offices of </w:t>
      </w:r>
      <w:proofErr w:type="spellStart"/>
      <w:r w:rsidRPr="006872A9">
        <w:rPr>
          <w:rFonts w:ascii="Arial" w:eastAsia="Times New Roman" w:hAnsi="Arial" w:cs="Arial"/>
          <w:color w:val="000000"/>
          <w:sz w:val="20"/>
          <w:szCs w:val="20"/>
          <w:lang w:eastAsia="en-IN"/>
        </w:rPr>
        <w:t>DoS</w:t>
      </w:r>
      <w:proofErr w:type="spellEnd"/>
      <w:r w:rsidRPr="006872A9">
        <w:rPr>
          <w:rFonts w:ascii="Arial" w:eastAsia="Times New Roman" w:hAnsi="Arial" w:cs="Arial"/>
          <w:color w:val="000000"/>
          <w:sz w:val="20"/>
          <w:szCs w:val="20"/>
          <w:lang w:eastAsia="en-IN"/>
        </w:rPr>
        <w:t>, RBI. This provision has been repealed in terms of </w:t>
      </w:r>
      <w:hyperlink r:id="rId75" w:tgtFrame="_blank" w:history="1">
        <w:r w:rsidRPr="006872A9">
          <w:rPr>
            <w:rFonts w:ascii="Arial" w:eastAsia="Times New Roman" w:hAnsi="Arial" w:cs="Arial"/>
            <w:color w:val="0000FF"/>
            <w:sz w:val="20"/>
            <w:szCs w:val="20"/>
            <w:u w:val="single"/>
            <w:lang w:eastAsia="en-IN"/>
          </w:rPr>
          <w:t>Master Direction - Reserve Bank of India (Filing of Supervisory Returns) Directions – 2024 (MD on FSR) dated February 27, 2024</w:t>
        </w:r>
      </w:hyperlink>
      <w:r w:rsidRPr="006872A9">
        <w:rPr>
          <w:rFonts w:ascii="Arial" w:eastAsia="Times New Roman" w:hAnsi="Arial" w:cs="Arial"/>
          <w:color w:val="000000"/>
          <w:sz w:val="20"/>
          <w:szCs w:val="20"/>
          <w:lang w:eastAsia="en-IN"/>
        </w:rPr>
        <w:t xml:space="preserve">. The applicable return for reporting PSL data by UCBs </w:t>
      </w:r>
      <w:proofErr w:type="gramStart"/>
      <w:r w:rsidRPr="006872A9">
        <w:rPr>
          <w:rFonts w:ascii="Arial" w:eastAsia="Times New Roman" w:hAnsi="Arial" w:cs="Arial"/>
          <w:color w:val="000000"/>
          <w:sz w:val="20"/>
          <w:szCs w:val="20"/>
          <w:lang w:eastAsia="en-IN"/>
        </w:rPr>
        <w:t>has been prescribed</w:t>
      </w:r>
      <w:proofErr w:type="gramEnd"/>
      <w:r w:rsidRPr="006872A9">
        <w:rPr>
          <w:rFonts w:ascii="Arial" w:eastAsia="Times New Roman" w:hAnsi="Arial" w:cs="Arial"/>
          <w:color w:val="000000"/>
          <w:sz w:val="20"/>
          <w:szCs w:val="20"/>
          <w:lang w:eastAsia="en-IN"/>
        </w:rPr>
        <w:t xml:space="preserve"> at Sl. No. 61 of Annex III of the MD on FSR. Accordingly, para 27 of MD as applicable to UCBs has been updated.</w:t>
      </w:r>
    </w:p>
    <w:p w:rsidR="006872A9" w:rsidRPr="006872A9" w:rsidRDefault="006872A9" w:rsidP="006872A9">
      <w:pPr>
        <w:pStyle w:val="NoSpacing"/>
        <w:rPr>
          <w:lang w:eastAsia="en-IN"/>
        </w:rPr>
      </w:pPr>
      <w:r w:rsidRPr="006872A9">
        <w:rPr>
          <w:lang w:eastAsia="en-IN"/>
        </w:rPr>
        <w:t xml:space="preserve">5. The relevant amendments made in the MD on PSL </w:t>
      </w:r>
      <w:proofErr w:type="gramStart"/>
      <w:r w:rsidRPr="006872A9">
        <w:rPr>
          <w:lang w:eastAsia="en-IN"/>
        </w:rPr>
        <w:t>are detailed</w:t>
      </w:r>
      <w:proofErr w:type="gramEnd"/>
      <w:r w:rsidRPr="006872A9">
        <w:rPr>
          <w:lang w:eastAsia="en-IN"/>
        </w:rPr>
        <w:t xml:space="preserve"> in the </w:t>
      </w:r>
      <w:hyperlink r:id="rId76" w:anchor="ANN" w:history="1">
        <w:r w:rsidRPr="006872A9">
          <w:rPr>
            <w:color w:val="0000FF"/>
            <w:u w:val="single"/>
            <w:lang w:eastAsia="en-IN"/>
          </w:rPr>
          <w:t>Annex</w:t>
        </w:r>
      </w:hyperlink>
      <w:r w:rsidRPr="006872A9">
        <w:rPr>
          <w:lang w:eastAsia="en-IN"/>
        </w:rPr>
        <w:t>.</w:t>
      </w:r>
    </w:p>
    <w:p w:rsidR="006872A9" w:rsidRPr="006872A9" w:rsidRDefault="006872A9" w:rsidP="006872A9">
      <w:pPr>
        <w:pStyle w:val="NoSpacing"/>
        <w:rPr>
          <w:lang w:eastAsia="en-IN"/>
        </w:rPr>
      </w:pPr>
      <w:r w:rsidRPr="006872A9">
        <w:rPr>
          <w:lang w:eastAsia="en-IN"/>
        </w:rPr>
        <w:t>6. The </w:t>
      </w:r>
      <w:hyperlink r:id="rId77" w:tgtFrame="_blank" w:history="1">
        <w:r w:rsidRPr="006872A9">
          <w:rPr>
            <w:color w:val="0000FF"/>
            <w:u w:val="single"/>
            <w:lang w:eastAsia="en-IN"/>
          </w:rPr>
          <w:t>Master Directions</w:t>
        </w:r>
      </w:hyperlink>
      <w:r w:rsidRPr="006872A9">
        <w:rPr>
          <w:lang w:eastAsia="en-IN"/>
        </w:rPr>
        <w:t> and </w:t>
      </w:r>
      <w:hyperlink r:id="rId78" w:tgtFrame="_blank" w:history="1">
        <w:r w:rsidRPr="006872A9">
          <w:rPr>
            <w:color w:val="0000FF"/>
            <w:u w:val="single"/>
            <w:lang w:eastAsia="en-IN"/>
          </w:rPr>
          <w:t>FAQs</w:t>
        </w:r>
      </w:hyperlink>
      <w:r w:rsidRPr="006872A9">
        <w:rPr>
          <w:lang w:eastAsia="en-IN"/>
        </w:rPr>
        <w:t xml:space="preserve"> on Priority Sector Lending on the Bank’s website </w:t>
      </w:r>
      <w:proofErr w:type="gramStart"/>
      <w:r w:rsidRPr="006872A9">
        <w:rPr>
          <w:lang w:eastAsia="en-IN"/>
        </w:rPr>
        <w:t>have been updated</w:t>
      </w:r>
      <w:proofErr w:type="gramEnd"/>
      <w:r w:rsidRPr="006872A9">
        <w:rPr>
          <w:lang w:eastAsia="en-IN"/>
        </w:rPr>
        <w:t xml:space="preserve"> accordingly.</w:t>
      </w:r>
    </w:p>
    <w:p w:rsidR="006872A9" w:rsidRPr="006872A9" w:rsidRDefault="006872A9" w:rsidP="006872A9">
      <w:pPr>
        <w:spacing w:before="100" w:beforeAutospacing="1" w:after="100" w:afterAutospacing="1" w:line="240" w:lineRule="auto"/>
        <w:jc w:val="both"/>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Yours faithfully,</w:t>
      </w:r>
    </w:p>
    <w:p w:rsidR="006872A9" w:rsidRDefault="006872A9" w:rsidP="006872A9">
      <w:pPr>
        <w:spacing w:before="100" w:beforeAutospacing="1" w:after="100" w:afterAutospacing="1" w:line="240" w:lineRule="auto"/>
        <w:rPr>
          <w:rFonts w:ascii="Arial" w:eastAsia="Times New Roman" w:hAnsi="Arial" w:cs="Arial"/>
          <w:color w:val="000000"/>
          <w:sz w:val="20"/>
          <w:szCs w:val="20"/>
          <w:lang w:eastAsia="en-IN"/>
        </w:rPr>
      </w:pPr>
      <w:r w:rsidRPr="006872A9">
        <w:rPr>
          <w:rFonts w:ascii="Arial" w:eastAsia="Times New Roman" w:hAnsi="Arial" w:cs="Arial"/>
          <w:color w:val="000000"/>
          <w:sz w:val="20"/>
          <w:szCs w:val="20"/>
          <w:lang w:eastAsia="en-IN"/>
        </w:rPr>
        <w:t>(</w:t>
      </w:r>
      <w:proofErr w:type="spellStart"/>
      <w:r w:rsidRPr="006872A9">
        <w:rPr>
          <w:rFonts w:ascii="Arial" w:eastAsia="Times New Roman" w:hAnsi="Arial" w:cs="Arial"/>
          <w:color w:val="000000"/>
          <w:sz w:val="20"/>
          <w:szCs w:val="20"/>
          <w:lang w:eastAsia="en-IN"/>
        </w:rPr>
        <w:t>Nisha</w:t>
      </w:r>
      <w:proofErr w:type="spellEnd"/>
      <w:r w:rsidRPr="006872A9">
        <w:rPr>
          <w:rFonts w:ascii="Arial" w:eastAsia="Times New Roman" w:hAnsi="Arial" w:cs="Arial"/>
          <w:color w:val="000000"/>
          <w:sz w:val="20"/>
          <w:szCs w:val="20"/>
          <w:lang w:eastAsia="en-IN"/>
        </w:rPr>
        <w:t xml:space="preserve"> </w:t>
      </w:r>
      <w:proofErr w:type="spellStart"/>
      <w:r w:rsidRPr="006872A9">
        <w:rPr>
          <w:rFonts w:ascii="Arial" w:eastAsia="Times New Roman" w:hAnsi="Arial" w:cs="Arial"/>
          <w:color w:val="000000"/>
          <w:sz w:val="20"/>
          <w:szCs w:val="20"/>
          <w:lang w:eastAsia="en-IN"/>
        </w:rPr>
        <w:t>Nambiar</w:t>
      </w:r>
      <w:proofErr w:type="spellEnd"/>
      <w:r w:rsidRPr="006872A9">
        <w:rPr>
          <w:rFonts w:ascii="Arial" w:eastAsia="Times New Roman" w:hAnsi="Arial" w:cs="Arial"/>
          <w:color w:val="000000"/>
          <w:sz w:val="20"/>
          <w:szCs w:val="20"/>
          <w:lang w:eastAsia="en-IN"/>
        </w:rPr>
        <w:t>)</w:t>
      </w:r>
      <w:r w:rsidRPr="006872A9">
        <w:rPr>
          <w:rFonts w:ascii="Arial" w:eastAsia="Times New Roman" w:hAnsi="Arial" w:cs="Arial"/>
          <w:color w:val="000000"/>
          <w:sz w:val="20"/>
          <w:szCs w:val="20"/>
          <w:lang w:eastAsia="en-IN"/>
        </w:rPr>
        <w:br/>
        <w:t>Chief General Manager-in-Charge</w:t>
      </w:r>
    </w:p>
    <w:p w:rsidR="006872A9" w:rsidRDefault="006872A9" w:rsidP="00625F32">
      <w:pPr>
        <w:spacing w:before="100" w:beforeAutospacing="1" w:after="100" w:afterAutospacing="1" w:line="240" w:lineRule="auto"/>
      </w:pPr>
      <w:r w:rsidRPr="006872A9">
        <w:rPr>
          <w:rFonts w:ascii="Arial" w:eastAsia="Times New Roman" w:hAnsi="Arial" w:cs="Arial"/>
          <w:color w:val="000000"/>
          <w:sz w:val="20"/>
          <w:szCs w:val="20"/>
          <w:lang w:eastAsia="en-IN"/>
        </w:rPr>
        <w:t xml:space="preserve">For more details, kindly </w:t>
      </w:r>
      <w:proofErr w:type="gramStart"/>
      <w:r w:rsidRPr="006872A9">
        <w:rPr>
          <w:rFonts w:ascii="Arial" w:eastAsia="Times New Roman" w:hAnsi="Arial" w:cs="Arial"/>
          <w:color w:val="000000"/>
          <w:sz w:val="20"/>
          <w:szCs w:val="20"/>
          <w:lang w:eastAsia="en-IN"/>
        </w:rPr>
        <w:t>refer:</w:t>
      </w:r>
      <w:proofErr w:type="gramEnd"/>
      <w:r>
        <w:rPr>
          <w:rFonts w:ascii="Arial" w:eastAsia="Times New Roman" w:hAnsi="Arial" w:cs="Arial"/>
          <w:color w:val="000000"/>
          <w:sz w:val="20"/>
          <w:szCs w:val="20"/>
          <w:lang w:eastAsia="en-IN"/>
        </w:rPr>
        <w:t xml:space="preserve"> </w:t>
      </w:r>
      <w:hyperlink r:id="rId79" w:history="1">
        <w:r w:rsidRPr="00E71B8F">
          <w:rPr>
            <w:rStyle w:val="Hyperlink"/>
            <w:rFonts w:ascii="Arial" w:eastAsia="Times New Roman" w:hAnsi="Arial" w:cs="Arial"/>
            <w:sz w:val="20"/>
            <w:szCs w:val="20"/>
            <w:lang w:eastAsia="en-IN"/>
          </w:rPr>
          <w:t>https://www.rbi.org.in/Scripts/NotificationUser.aspx?Id=12694&amp;Mode=0</w:t>
        </w:r>
      </w:hyperlink>
      <w:r>
        <w:rPr>
          <w:rFonts w:ascii="Arial" w:eastAsia="Times New Roman" w:hAnsi="Arial" w:cs="Arial"/>
          <w:color w:val="000000"/>
          <w:sz w:val="20"/>
          <w:szCs w:val="20"/>
          <w:lang w:eastAsia="en-IN"/>
        </w:rPr>
        <w:t xml:space="preserve"> </w:t>
      </w:r>
      <w:bookmarkStart w:id="0" w:name="_GoBack"/>
      <w:bookmarkEnd w:id="0"/>
    </w:p>
    <w:sectPr w:rsidR="00687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A73BE"/>
    <w:multiLevelType w:val="multilevel"/>
    <w:tmpl w:val="3D18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27"/>
    <w:rsid w:val="00153039"/>
    <w:rsid w:val="0044035A"/>
    <w:rsid w:val="00535A50"/>
    <w:rsid w:val="00625F32"/>
    <w:rsid w:val="00627834"/>
    <w:rsid w:val="006872A9"/>
    <w:rsid w:val="007340DD"/>
    <w:rsid w:val="008176BF"/>
    <w:rsid w:val="00825000"/>
    <w:rsid w:val="00871678"/>
    <w:rsid w:val="00955E5B"/>
    <w:rsid w:val="009976FA"/>
    <w:rsid w:val="00AD0812"/>
    <w:rsid w:val="00BA226B"/>
    <w:rsid w:val="00BD6B31"/>
    <w:rsid w:val="00D65503"/>
    <w:rsid w:val="00E11659"/>
    <w:rsid w:val="00E14A0B"/>
    <w:rsid w:val="00F42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9F80"/>
  <w15:chartTrackingRefBased/>
  <w15:docId w15:val="{62754C46-6321-4F09-8E45-85C6AD08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6B31"/>
    <w:rPr>
      <w:b/>
      <w:bCs/>
    </w:rPr>
  </w:style>
  <w:style w:type="table" w:styleId="TableGrid">
    <w:name w:val="Table Grid"/>
    <w:basedOn w:val="TableNormal"/>
    <w:uiPriority w:val="39"/>
    <w:rsid w:val="00BD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6B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BD6B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D6B31"/>
    <w:rPr>
      <w:color w:val="0000FF"/>
      <w:u w:val="single"/>
    </w:rPr>
  </w:style>
  <w:style w:type="character" w:customStyle="1" w:styleId="head1">
    <w:name w:val="head1"/>
    <w:basedOn w:val="DefaultParagraphFont"/>
    <w:rsid w:val="00AD0812"/>
  </w:style>
  <w:style w:type="paragraph" w:styleId="NoSpacing">
    <w:name w:val="No Spacing"/>
    <w:uiPriority w:val="1"/>
    <w:qFormat/>
    <w:rsid w:val="00687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8089">
      <w:bodyDiv w:val="1"/>
      <w:marLeft w:val="0"/>
      <w:marRight w:val="0"/>
      <w:marTop w:val="0"/>
      <w:marBottom w:val="0"/>
      <w:divBdr>
        <w:top w:val="none" w:sz="0" w:space="0" w:color="auto"/>
        <w:left w:val="none" w:sz="0" w:space="0" w:color="auto"/>
        <w:bottom w:val="none" w:sz="0" w:space="0" w:color="auto"/>
        <w:right w:val="none" w:sz="0" w:space="0" w:color="auto"/>
      </w:divBdr>
    </w:div>
    <w:div w:id="129640478">
      <w:bodyDiv w:val="1"/>
      <w:marLeft w:val="0"/>
      <w:marRight w:val="0"/>
      <w:marTop w:val="0"/>
      <w:marBottom w:val="0"/>
      <w:divBdr>
        <w:top w:val="none" w:sz="0" w:space="0" w:color="auto"/>
        <w:left w:val="none" w:sz="0" w:space="0" w:color="auto"/>
        <w:bottom w:val="none" w:sz="0" w:space="0" w:color="auto"/>
        <w:right w:val="none" w:sz="0" w:space="0" w:color="auto"/>
      </w:divBdr>
    </w:div>
    <w:div w:id="319232686">
      <w:bodyDiv w:val="1"/>
      <w:marLeft w:val="0"/>
      <w:marRight w:val="0"/>
      <w:marTop w:val="0"/>
      <w:marBottom w:val="0"/>
      <w:divBdr>
        <w:top w:val="none" w:sz="0" w:space="0" w:color="auto"/>
        <w:left w:val="none" w:sz="0" w:space="0" w:color="auto"/>
        <w:bottom w:val="none" w:sz="0" w:space="0" w:color="auto"/>
        <w:right w:val="none" w:sz="0" w:space="0" w:color="auto"/>
      </w:divBdr>
    </w:div>
    <w:div w:id="548107880">
      <w:bodyDiv w:val="1"/>
      <w:marLeft w:val="0"/>
      <w:marRight w:val="0"/>
      <w:marTop w:val="0"/>
      <w:marBottom w:val="0"/>
      <w:divBdr>
        <w:top w:val="none" w:sz="0" w:space="0" w:color="auto"/>
        <w:left w:val="none" w:sz="0" w:space="0" w:color="auto"/>
        <w:bottom w:val="none" w:sz="0" w:space="0" w:color="auto"/>
        <w:right w:val="none" w:sz="0" w:space="0" w:color="auto"/>
      </w:divBdr>
    </w:div>
    <w:div w:id="578711824">
      <w:bodyDiv w:val="1"/>
      <w:marLeft w:val="0"/>
      <w:marRight w:val="0"/>
      <w:marTop w:val="0"/>
      <w:marBottom w:val="0"/>
      <w:divBdr>
        <w:top w:val="none" w:sz="0" w:space="0" w:color="auto"/>
        <w:left w:val="none" w:sz="0" w:space="0" w:color="auto"/>
        <w:bottom w:val="none" w:sz="0" w:space="0" w:color="auto"/>
        <w:right w:val="none" w:sz="0" w:space="0" w:color="auto"/>
      </w:divBdr>
    </w:div>
    <w:div w:id="702025466">
      <w:bodyDiv w:val="1"/>
      <w:marLeft w:val="0"/>
      <w:marRight w:val="0"/>
      <w:marTop w:val="0"/>
      <w:marBottom w:val="0"/>
      <w:divBdr>
        <w:top w:val="none" w:sz="0" w:space="0" w:color="auto"/>
        <w:left w:val="none" w:sz="0" w:space="0" w:color="auto"/>
        <w:bottom w:val="none" w:sz="0" w:space="0" w:color="auto"/>
        <w:right w:val="none" w:sz="0" w:space="0" w:color="auto"/>
      </w:divBdr>
    </w:div>
    <w:div w:id="754475776">
      <w:bodyDiv w:val="1"/>
      <w:marLeft w:val="0"/>
      <w:marRight w:val="0"/>
      <w:marTop w:val="0"/>
      <w:marBottom w:val="0"/>
      <w:divBdr>
        <w:top w:val="none" w:sz="0" w:space="0" w:color="auto"/>
        <w:left w:val="none" w:sz="0" w:space="0" w:color="auto"/>
        <w:bottom w:val="none" w:sz="0" w:space="0" w:color="auto"/>
        <w:right w:val="none" w:sz="0" w:space="0" w:color="auto"/>
      </w:divBdr>
    </w:div>
    <w:div w:id="760488935">
      <w:bodyDiv w:val="1"/>
      <w:marLeft w:val="0"/>
      <w:marRight w:val="0"/>
      <w:marTop w:val="0"/>
      <w:marBottom w:val="0"/>
      <w:divBdr>
        <w:top w:val="none" w:sz="0" w:space="0" w:color="auto"/>
        <w:left w:val="none" w:sz="0" w:space="0" w:color="auto"/>
        <w:bottom w:val="none" w:sz="0" w:space="0" w:color="auto"/>
        <w:right w:val="none" w:sz="0" w:space="0" w:color="auto"/>
      </w:divBdr>
    </w:div>
    <w:div w:id="795178233">
      <w:bodyDiv w:val="1"/>
      <w:marLeft w:val="0"/>
      <w:marRight w:val="0"/>
      <w:marTop w:val="0"/>
      <w:marBottom w:val="0"/>
      <w:divBdr>
        <w:top w:val="none" w:sz="0" w:space="0" w:color="auto"/>
        <w:left w:val="none" w:sz="0" w:space="0" w:color="auto"/>
        <w:bottom w:val="none" w:sz="0" w:space="0" w:color="auto"/>
        <w:right w:val="none" w:sz="0" w:space="0" w:color="auto"/>
      </w:divBdr>
    </w:div>
    <w:div w:id="841817017">
      <w:bodyDiv w:val="1"/>
      <w:marLeft w:val="0"/>
      <w:marRight w:val="0"/>
      <w:marTop w:val="0"/>
      <w:marBottom w:val="0"/>
      <w:divBdr>
        <w:top w:val="none" w:sz="0" w:space="0" w:color="auto"/>
        <w:left w:val="none" w:sz="0" w:space="0" w:color="auto"/>
        <w:bottom w:val="none" w:sz="0" w:space="0" w:color="auto"/>
        <w:right w:val="none" w:sz="0" w:space="0" w:color="auto"/>
      </w:divBdr>
    </w:div>
    <w:div w:id="1014839033">
      <w:bodyDiv w:val="1"/>
      <w:marLeft w:val="0"/>
      <w:marRight w:val="0"/>
      <w:marTop w:val="0"/>
      <w:marBottom w:val="0"/>
      <w:divBdr>
        <w:top w:val="none" w:sz="0" w:space="0" w:color="auto"/>
        <w:left w:val="none" w:sz="0" w:space="0" w:color="auto"/>
        <w:bottom w:val="none" w:sz="0" w:space="0" w:color="auto"/>
        <w:right w:val="none" w:sz="0" w:space="0" w:color="auto"/>
      </w:divBdr>
    </w:div>
    <w:div w:id="1104810636">
      <w:bodyDiv w:val="1"/>
      <w:marLeft w:val="0"/>
      <w:marRight w:val="0"/>
      <w:marTop w:val="0"/>
      <w:marBottom w:val="0"/>
      <w:divBdr>
        <w:top w:val="none" w:sz="0" w:space="0" w:color="auto"/>
        <w:left w:val="none" w:sz="0" w:space="0" w:color="auto"/>
        <w:bottom w:val="none" w:sz="0" w:space="0" w:color="auto"/>
        <w:right w:val="none" w:sz="0" w:space="0" w:color="auto"/>
      </w:divBdr>
    </w:div>
    <w:div w:id="1113404317">
      <w:bodyDiv w:val="1"/>
      <w:marLeft w:val="0"/>
      <w:marRight w:val="0"/>
      <w:marTop w:val="0"/>
      <w:marBottom w:val="0"/>
      <w:divBdr>
        <w:top w:val="none" w:sz="0" w:space="0" w:color="auto"/>
        <w:left w:val="none" w:sz="0" w:space="0" w:color="auto"/>
        <w:bottom w:val="none" w:sz="0" w:space="0" w:color="auto"/>
        <w:right w:val="none" w:sz="0" w:space="0" w:color="auto"/>
      </w:divBdr>
    </w:div>
    <w:div w:id="1371612558">
      <w:bodyDiv w:val="1"/>
      <w:marLeft w:val="0"/>
      <w:marRight w:val="0"/>
      <w:marTop w:val="0"/>
      <w:marBottom w:val="0"/>
      <w:divBdr>
        <w:top w:val="none" w:sz="0" w:space="0" w:color="auto"/>
        <w:left w:val="none" w:sz="0" w:space="0" w:color="auto"/>
        <w:bottom w:val="none" w:sz="0" w:space="0" w:color="auto"/>
        <w:right w:val="none" w:sz="0" w:space="0" w:color="auto"/>
      </w:divBdr>
    </w:div>
    <w:div w:id="1520971958">
      <w:bodyDiv w:val="1"/>
      <w:marLeft w:val="0"/>
      <w:marRight w:val="0"/>
      <w:marTop w:val="0"/>
      <w:marBottom w:val="0"/>
      <w:divBdr>
        <w:top w:val="none" w:sz="0" w:space="0" w:color="auto"/>
        <w:left w:val="none" w:sz="0" w:space="0" w:color="auto"/>
        <w:bottom w:val="none" w:sz="0" w:space="0" w:color="auto"/>
        <w:right w:val="none" w:sz="0" w:space="0" w:color="auto"/>
      </w:divBdr>
    </w:div>
    <w:div w:id="1545412109">
      <w:bodyDiv w:val="1"/>
      <w:marLeft w:val="0"/>
      <w:marRight w:val="0"/>
      <w:marTop w:val="0"/>
      <w:marBottom w:val="0"/>
      <w:divBdr>
        <w:top w:val="none" w:sz="0" w:space="0" w:color="auto"/>
        <w:left w:val="none" w:sz="0" w:space="0" w:color="auto"/>
        <w:bottom w:val="none" w:sz="0" w:space="0" w:color="auto"/>
        <w:right w:val="none" w:sz="0" w:space="0" w:color="auto"/>
      </w:divBdr>
    </w:div>
    <w:div w:id="1561557841">
      <w:bodyDiv w:val="1"/>
      <w:marLeft w:val="0"/>
      <w:marRight w:val="0"/>
      <w:marTop w:val="0"/>
      <w:marBottom w:val="0"/>
      <w:divBdr>
        <w:top w:val="none" w:sz="0" w:space="0" w:color="auto"/>
        <w:left w:val="none" w:sz="0" w:space="0" w:color="auto"/>
        <w:bottom w:val="none" w:sz="0" w:space="0" w:color="auto"/>
        <w:right w:val="none" w:sz="0" w:space="0" w:color="auto"/>
      </w:divBdr>
    </w:div>
    <w:div w:id="1635020070">
      <w:bodyDiv w:val="1"/>
      <w:marLeft w:val="0"/>
      <w:marRight w:val="0"/>
      <w:marTop w:val="0"/>
      <w:marBottom w:val="0"/>
      <w:divBdr>
        <w:top w:val="none" w:sz="0" w:space="0" w:color="auto"/>
        <w:left w:val="none" w:sz="0" w:space="0" w:color="auto"/>
        <w:bottom w:val="none" w:sz="0" w:space="0" w:color="auto"/>
        <w:right w:val="none" w:sz="0" w:space="0" w:color="auto"/>
      </w:divBdr>
    </w:div>
    <w:div w:id="1642465582">
      <w:bodyDiv w:val="1"/>
      <w:marLeft w:val="0"/>
      <w:marRight w:val="0"/>
      <w:marTop w:val="0"/>
      <w:marBottom w:val="0"/>
      <w:divBdr>
        <w:top w:val="none" w:sz="0" w:space="0" w:color="auto"/>
        <w:left w:val="none" w:sz="0" w:space="0" w:color="auto"/>
        <w:bottom w:val="none" w:sz="0" w:space="0" w:color="auto"/>
        <w:right w:val="none" w:sz="0" w:space="0" w:color="auto"/>
      </w:divBdr>
    </w:div>
    <w:div w:id="1723366645">
      <w:bodyDiv w:val="1"/>
      <w:marLeft w:val="0"/>
      <w:marRight w:val="0"/>
      <w:marTop w:val="0"/>
      <w:marBottom w:val="0"/>
      <w:divBdr>
        <w:top w:val="none" w:sz="0" w:space="0" w:color="auto"/>
        <w:left w:val="none" w:sz="0" w:space="0" w:color="auto"/>
        <w:bottom w:val="none" w:sz="0" w:space="0" w:color="auto"/>
        <w:right w:val="none" w:sz="0" w:space="0" w:color="auto"/>
      </w:divBdr>
    </w:div>
    <w:div w:id="1769353993">
      <w:bodyDiv w:val="1"/>
      <w:marLeft w:val="0"/>
      <w:marRight w:val="0"/>
      <w:marTop w:val="0"/>
      <w:marBottom w:val="0"/>
      <w:divBdr>
        <w:top w:val="none" w:sz="0" w:space="0" w:color="auto"/>
        <w:left w:val="none" w:sz="0" w:space="0" w:color="auto"/>
        <w:bottom w:val="none" w:sz="0" w:space="0" w:color="auto"/>
        <w:right w:val="none" w:sz="0" w:space="0" w:color="auto"/>
      </w:divBdr>
    </w:div>
    <w:div w:id="1877883564">
      <w:bodyDiv w:val="1"/>
      <w:marLeft w:val="0"/>
      <w:marRight w:val="0"/>
      <w:marTop w:val="0"/>
      <w:marBottom w:val="0"/>
      <w:divBdr>
        <w:top w:val="none" w:sz="0" w:space="0" w:color="auto"/>
        <w:left w:val="none" w:sz="0" w:space="0" w:color="auto"/>
        <w:bottom w:val="none" w:sz="0" w:space="0" w:color="auto"/>
        <w:right w:val="none" w:sz="0" w:space="0" w:color="auto"/>
      </w:divBdr>
    </w:div>
    <w:div w:id="2070418149">
      <w:bodyDiv w:val="1"/>
      <w:marLeft w:val="0"/>
      <w:marRight w:val="0"/>
      <w:marTop w:val="0"/>
      <w:marBottom w:val="0"/>
      <w:divBdr>
        <w:top w:val="none" w:sz="0" w:space="0" w:color="auto"/>
        <w:left w:val="none" w:sz="0" w:space="0" w:color="auto"/>
        <w:bottom w:val="none" w:sz="0" w:space="0" w:color="auto"/>
        <w:right w:val="none" w:sz="0" w:space="0" w:color="auto"/>
      </w:divBdr>
    </w:div>
    <w:div w:id="21088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PressReleaseDisplay.aspx?prid=56888" TargetMode="External"/><Relationship Id="rId18" Type="http://schemas.openxmlformats.org/officeDocument/2006/relationships/hyperlink" Target="https://rbi.org.in/Scripts/NotificationUser.aspx?Id=4410&amp;Mode=0" TargetMode="External"/><Relationship Id="rId26" Type="http://schemas.openxmlformats.org/officeDocument/2006/relationships/hyperlink" Target="https://www.rbi.org.in/" TargetMode="External"/><Relationship Id="rId39" Type="http://schemas.openxmlformats.org/officeDocument/2006/relationships/hyperlink" Target="https://www.rbi.org.in/Scripts/NotificationUser.aspx?Id=12639&amp;Mode=0" TargetMode="External"/><Relationship Id="rId21" Type="http://schemas.openxmlformats.org/officeDocument/2006/relationships/hyperlink" Target="https://www.rbi.org.in/Scripts/NotificationUser.aspx?Id=12594&amp;Mode=0" TargetMode="External"/><Relationship Id="rId34" Type="http://schemas.openxmlformats.org/officeDocument/2006/relationships/hyperlink" Target="https://www.rbi.org.in/Scripts/BS_PressReleaseDisplay.aspx?prid=55243" TargetMode="External"/><Relationship Id="rId42" Type="http://schemas.openxmlformats.org/officeDocument/2006/relationships/hyperlink" Target="https://www.rbi.org.in/Scripts/NotificationUser.aspx?Id=12652&amp;Mode=0" TargetMode="External"/><Relationship Id="rId47" Type="http://schemas.openxmlformats.org/officeDocument/2006/relationships/hyperlink" Target="https://www.rbi.org.in/Scripts/BS_PressReleaseDisplay.aspx?prid=57276" TargetMode="External"/><Relationship Id="rId50" Type="http://schemas.openxmlformats.org/officeDocument/2006/relationships/hyperlink" Target="https://www.rbi.org.in/Scripts/NotificationUser.aspx?Id=12423&amp;Mode=0" TargetMode="External"/><Relationship Id="rId55" Type="http://schemas.openxmlformats.org/officeDocument/2006/relationships/hyperlink" Target="https://www.rbi.org.in/Scripts/NotificationUser.aspx?Id=12679&amp;Mode=0" TargetMode="External"/><Relationship Id="rId63" Type="http://schemas.openxmlformats.org/officeDocument/2006/relationships/hyperlink" Target="https://www.rbi.org.in/Scripts/NotificationUser.aspx?Id=12680&amp;Mode=0" TargetMode="External"/><Relationship Id="rId68" Type="http://schemas.openxmlformats.org/officeDocument/2006/relationships/hyperlink" Target="https://rbi.org.in/Scripts/BS_ViewMasDirections.aspx?id=12328" TargetMode="External"/><Relationship Id="rId76" Type="http://schemas.openxmlformats.org/officeDocument/2006/relationships/hyperlink" Target="https://www.rbi.org.in/Scripts/NotificationUser.aspx?Id=12694&amp;Mode=0" TargetMode="External"/><Relationship Id="rId7" Type="http://schemas.openxmlformats.org/officeDocument/2006/relationships/hyperlink" Target="https://rbi.org.in/Scripts/BS_PressReleaseDisplay.aspx?prid=50761" TargetMode="External"/><Relationship Id="rId71" Type="http://schemas.openxmlformats.org/officeDocument/2006/relationships/hyperlink" Target="https://www.rbi.org.in/Scripts/NotificationUser.aspx?Id=12682&amp;Mode=0" TargetMode="External"/><Relationship Id="rId2" Type="http://schemas.openxmlformats.org/officeDocument/2006/relationships/styles" Target="styles.xml"/><Relationship Id="rId16" Type="http://schemas.openxmlformats.org/officeDocument/2006/relationships/hyperlink" Target="https://rbi.org.in/Scripts/NotificationUser.aspx?Id=11861&amp;Mode=0" TargetMode="External"/><Relationship Id="rId29" Type="http://schemas.openxmlformats.org/officeDocument/2006/relationships/hyperlink" Target="https://www.rbi.org.in/Scripts/BS_ViewMasCirculardetails.aspx?id=12504" TargetMode="External"/><Relationship Id="rId11" Type="http://schemas.openxmlformats.org/officeDocument/2006/relationships/hyperlink" Target="https://www.rbi.org.in/Scripts/NotificationUser.aspx?Id=12592&amp;Mode=0" TargetMode="External"/><Relationship Id="rId24" Type="http://schemas.openxmlformats.org/officeDocument/2006/relationships/hyperlink" Target="https://www.rbi.org.in/Scripts/NotificationUser.aspx?Id=12594&amp;Mode=0" TargetMode="External"/><Relationship Id="rId32" Type="http://schemas.openxmlformats.org/officeDocument/2006/relationships/hyperlink" Target="https://www.rbi.org.in/Scripts/BS_ViewMasCirculardetails.aspx?id=12504" TargetMode="External"/><Relationship Id="rId37" Type="http://schemas.openxmlformats.org/officeDocument/2006/relationships/hyperlink" Target="https://www.rbi.org.in/Scripts/NotificationUser.aspx?Id=12615&amp;Mode=0" TargetMode="External"/><Relationship Id="rId40" Type="http://schemas.openxmlformats.org/officeDocument/2006/relationships/hyperlink" Target="https://www.rbi.org.in/Scripts/BS_ViewMasCirculardetails.aspx?id=12504" TargetMode="External"/><Relationship Id="rId45" Type="http://schemas.openxmlformats.org/officeDocument/2006/relationships/hyperlink" Target="https://www.rbi.org.in/Scripts/NotificationUser.aspx?Id=12657&amp;Mode=0" TargetMode="External"/><Relationship Id="rId53" Type="http://schemas.openxmlformats.org/officeDocument/2006/relationships/hyperlink" Target="https://www.rbi.org.in/Scripts/NotificationUser.aspx?Id=12662&amp;Mode=0" TargetMode="External"/><Relationship Id="rId58" Type="http://schemas.openxmlformats.org/officeDocument/2006/relationships/hyperlink" Target="https://www.rbi.org.in/Scripts/NotificationUser.aspx?Id=12679&amp;Mode=0" TargetMode="External"/><Relationship Id="rId66" Type="http://schemas.openxmlformats.org/officeDocument/2006/relationships/hyperlink" Target="https://rbi.org.in/Scripts/BS_PressReleaseDisplay.aspx?prid=49343" TargetMode="External"/><Relationship Id="rId74" Type="http://schemas.openxmlformats.org/officeDocument/2006/relationships/hyperlink" Target="https://rbi.org.in/Scripts/BS_ViewMasDirections.aspx?id=11060" TargetMode="External"/><Relationship Id="rId79" Type="http://schemas.openxmlformats.org/officeDocument/2006/relationships/hyperlink" Target="https://www.rbi.org.in/Scripts/NotificationUser.aspx?Id=12694&amp;Mode=0" TargetMode="External"/><Relationship Id="rId5" Type="http://schemas.openxmlformats.org/officeDocument/2006/relationships/hyperlink" Target="https://rbi.org.in/Scripts/BS_PressReleaseDisplay.aspx?prid=47226" TargetMode="External"/><Relationship Id="rId61" Type="http://schemas.openxmlformats.org/officeDocument/2006/relationships/hyperlink" Target="https://rbi.org.in/Scripts/BS_ViewMasDirections.aspx?id=10485" TargetMode="External"/><Relationship Id="rId10" Type="http://schemas.openxmlformats.org/officeDocument/2006/relationships/hyperlink" Target="https://www.rbi.org.in/Scripts/NotificationUser.aspx?Id=12592&amp;Mode=0" TargetMode="External"/><Relationship Id="rId19" Type="http://schemas.openxmlformats.org/officeDocument/2006/relationships/hyperlink" Target="https://rbi.org.in/Scripts/NotificationUser.aspx?Id=5913&amp;Mode=0" TargetMode="External"/><Relationship Id="rId31" Type="http://schemas.openxmlformats.org/officeDocument/2006/relationships/hyperlink" Target="https://www.rbi.org.in/Scripts/BS_ViewMasDirections.aspx?id=12534" TargetMode="External"/><Relationship Id="rId44" Type="http://schemas.openxmlformats.org/officeDocument/2006/relationships/hyperlink" Target="https://www.rbi.org.in/Scripts/NotificationUser.aspx?Id=12657&amp;Mode=0" TargetMode="External"/><Relationship Id="rId52" Type="http://schemas.openxmlformats.org/officeDocument/2006/relationships/hyperlink" Target="https://www.rbi.org.in/Scripts/BS_ViewMasDirections.aspx?id=12427" TargetMode="External"/><Relationship Id="rId60" Type="http://schemas.openxmlformats.org/officeDocument/2006/relationships/hyperlink" Target="https://rbidocs.rbi.org.in/rdocs/notification/PDFs/FEDCR2000F1FAB9DD90724BB6AFC423AC418B1DBE.PDF" TargetMode="External"/><Relationship Id="rId65" Type="http://schemas.openxmlformats.org/officeDocument/2006/relationships/hyperlink" Target="https://www.rbi.org.in/Scripts/NotificationUser.aspx?Id=12680&amp;Mode=0" TargetMode="External"/><Relationship Id="rId73" Type="http://schemas.openxmlformats.org/officeDocument/2006/relationships/hyperlink" Target="https://www.rbi.org.in/Scripts/BS_ViewMasDirections.aspx?id=11959" TargetMode="External"/><Relationship Id="rId78" Type="http://schemas.openxmlformats.org/officeDocument/2006/relationships/hyperlink" Target="https://www.rbi.org.in/Scripts/FAQDisplay.aspx?Id=87"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org.in/Scripts/BS_ViewMasDirections.aspx?id=12108" TargetMode="External"/><Relationship Id="rId14" Type="http://schemas.openxmlformats.org/officeDocument/2006/relationships/hyperlink" Target="https://rbi.org.in/Scripts/NotificationUser.aspx?Id=12100&amp;Mode=0" TargetMode="External"/><Relationship Id="rId22" Type="http://schemas.openxmlformats.org/officeDocument/2006/relationships/hyperlink" Target="https://www.rbi.org.in/Scripts/BS_ViewMasDirections.aspx?id=10485" TargetMode="External"/><Relationship Id="rId27" Type="http://schemas.openxmlformats.org/officeDocument/2006/relationships/hyperlink" Target="https://www.rbi.org.in/Scripts/NotificationUser.aspx?Id=12600&amp;Mode=0" TargetMode="External"/><Relationship Id="rId30" Type="http://schemas.openxmlformats.org/officeDocument/2006/relationships/hyperlink" Target="https://www.rbi.org.in/Scripts/BS_ViewMasDirections.aspx?id=12182" TargetMode="External"/><Relationship Id="rId35" Type="http://schemas.openxmlformats.org/officeDocument/2006/relationships/hyperlink" Target="https://www.rbi.org.in/Scripts/BS_ViewMasDirections.aspx?id=12182" TargetMode="External"/><Relationship Id="rId43" Type="http://schemas.openxmlformats.org/officeDocument/2006/relationships/hyperlink" Target="https://rbi.org.in/Scripts/BS_ViewMasCirculardetails.aspx?id=12472" TargetMode="External"/><Relationship Id="rId48" Type="http://schemas.openxmlformats.org/officeDocument/2006/relationships/hyperlink" Target="https://www.rbi.org.in/Scripts/BS_PressReleaseDisplay.aspx?prid=57275" TargetMode="External"/><Relationship Id="rId56" Type="http://schemas.openxmlformats.org/officeDocument/2006/relationships/hyperlink" Target="https://www.rbi.org.in/Scripts/NotificationUser.aspx?Id=12679&amp;Mode=0" TargetMode="External"/><Relationship Id="rId64" Type="http://schemas.openxmlformats.org/officeDocument/2006/relationships/hyperlink" Target="https://www.rbi.org.in/Scripts/NotificationUser.aspx?Id=12680&amp;Mode=0" TargetMode="External"/><Relationship Id="rId69" Type="http://schemas.openxmlformats.org/officeDocument/2006/relationships/hyperlink" Target="https://rbi.org.in/Scripts/BS_PressReleaseDisplay.aspx?prid=53875" TargetMode="External"/><Relationship Id="rId77" Type="http://schemas.openxmlformats.org/officeDocument/2006/relationships/hyperlink" Target="https://www.rbi.org.in/Scripts/BS_ViewMasDirections.aspx?id=11959" TargetMode="External"/><Relationship Id="rId8" Type="http://schemas.openxmlformats.org/officeDocument/2006/relationships/hyperlink" Target="https://rbi.org.in/Scripts/BS_ViewMasDirections.aspx?id=12061" TargetMode="External"/><Relationship Id="rId51" Type="http://schemas.openxmlformats.org/officeDocument/2006/relationships/hyperlink" Target="https://www.rbi.org.in/Scripts/BS_ViewMasDirections.aspx?id=12427" TargetMode="External"/><Relationship Id="rId72" Type="http://schemas.openxmlformats.org/officeDocument/2006/relationships/hyperlink" Target="https://www.rbi.org.in/Scripts/BS_ViewMasDirections.aspx?id=11959"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bi.org.in/Scripts/BS_PressReleaseDisplay.aspx?prid=56889" TargetMode="External"/><Relationship Id="rId17" Type="http://schemas.openxmlformats.org/officeDocument/2006/relationships/hyperlink" Target="https://www.rbi.org.in/Scripts/NotificationUser.aspx?Id=11861&amp;Mode=0" TargetMode="External"/><Relationship Id="rId25" Type="http://schemas.openxmlformats.org/officeDocument/2006/relationships/hyperlink" Target="https://rbi.org.in/Scripts/BS_ViewMasCirculardetails.aspx?id=9866" TargetMode="External"/><Relationship Id="rId33" Type="http://schemas.openxmlformats.org/officeDocument/2006/relationships/hyperlink" Target="https://rbidocs.rbi.org.in/rdocs/content/pdfs/CapitalAdequacy28022024_Annex1.pdf" TargetMode="External"/><Relationship Id="rId38" Type="http://schemas.openxmlformats.org/officeDocument/2006/relationships/hyperlink" Target="https://www.rbi.org.in/Scripts/NotificationUser.aspx?Id=12572&amp;Mode=0" TargetMode="External"/><Relationship Id="rId46" Type="http://schemas.openxmlformats.org/officeDocument/2006/relationships/hyperlink" Target="https://www.rbi.org.in/Scripts/NotificationUser.aspx?Id=12657&amp;Mode=0" TargetMode="External"/><Relationship Id="rId59" Type="http://schemas.openxmlformats.org/officeDocument/2006/relationships/hyperlink" Target="https://www.rbi.org.in/Scripts/NotificationUser.aspx?Id=12679&amp;Mode=0" TargetMode="External"/><Relationship Id="rId67" Type="http://schemas.openxmlformats.org/officeDocument/2006/relationships/hyperlink" Target="https://rbi.org.in/Scripts/BS_PressReleaseDisplay.aspx?prid=49342" TargetMode="External"/><Relationship Id="rId20" Type="http://schemas.openxmlformats.org/officeDocument/2006/relationships/hyperlink" Target="https://www.rbi.org.in/Scripts/BS_ViewMasDirections.aspx?id=10485" TargetMode="External"/><Relationship Id="rId41" Type="http://schemas.openxmlformats.org/officeDocument/2006/relationships/hyperlink" Target="https://rbidocs.rbi.org.in/rdocs/content/pdfs/08MC01042024_A.pdf" TargetMode="External"/><Relationship Id="rId54" Type="http://schemas.openxmlformats.org/officeDocument/2006/relationships/hyperlink" Target="https://www.rbi.org.in/Scripts/NotificationUser.aspx?Id=2533&amp;Mode=0" TargetMode="External"/><Relationship Id="rId62" Type="http://schemas.openxmlformats.org/officeDocument/2006/relationships/hyperlink" Target="https://rbi.org.in/Scripts/NotificationUser.aspx?Id=11347&amp;Mode=0" TargetMode="External"/><Relationship Id="rId70" Type="http://schemas.openxmlformats.org/officeDocument/2006/relationships/hyperlink" Target="https://www.rbi.org.in/Scripts/NotificationUser.aspx?Id=12682&amp;Mode=0" TargetMode="External"/><Relationship Id="rId75" Type="http://schemas.openxmlformats.org/officeDocument/2006/relationships/hyperlink" Target="https://rbi.org.in/Scripts/BS_ViewMasDirections.aspx?id=12613" TargetMode="External"/><Relationship Id="rId1" Type="http://schemas.openxmlformats.org/officeDocument/2006/relationships/numbering" Target="numbering.xml"/><Relationship Id="rId6" Type="http://schemas.openxmlformats.org/officeDocument/2006/relationships/hyperlink" Target="https://rbi.org.in/Scripts/BS_PressReleaseDisplay.aspx?prid=47225" TargetMode="External"/><Relationship Id="rId15" Type="http://schemas.openxmlformats.org/officeDocument/2006/relationships/hyperlink" Target="https://www.rbi.org.in/Scripts/BS_ViewMasDirections.aspx?id=10485" TargetMode="External"/><Relationship Id="rId23" Type="http://schemas.openxmlformats.org/officeDocument/2006/relationships/hyperlink" Target="https://www.rbi.org.in/Scripts/NotificationUser.aspx?Id=12594&amp;Mode=0" TargetMode="External"/><Relationship Id="rId28" Type="http://schemas.openxmlformats.org/officeDocument/2006/relationships/hyperlink" Target="https://www.rbi.org.in/Scripts/NotificationUser.aspx?Id=12600&amp;Mode=0" TargetMode="External"/><Relationship Id="rId36" Type="http://schemas.openxmlformats.org/officeDocument/2006/relationships/hyperlink" Target="https://rbidocs.rbi.org.in/rdocs/content/pdfs/CapitalAdequacy28022024_Annex2.pdf" TargetMode="External"/><Relationship Id="rId49" Type="http://schemas.openxmlformats.org/officeDocument/2006/relationships/hyperlink" Target="https://www.rbi.org.in/Scripts/BS_ViewMasDirections.aspx?id=12427" TargetMode="External"/><Relationship Id="rId57" Type="http://schemas.openxmlformats.org/officeDocument/2006/relationships/hyperlink" Target="https://www.rbi.org.in/Scripts/NotificationUser.aspx?Id=253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5242</Words>
  <Characters>29884</Characters>
  <Application>Microsoft Office Word</Application>
  <DocSecurity>0</DocSecurity>
  <Lines>249</Lines>
  <Paragraphs>70</Paragraphs>
  <ScaleCrop>false</ScaleCrop>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24</cp:revision>
  <dcterms:created xsi:type="dcterms:W3CDTF">2024-08-21T11:51:00Z</dcterms:created>
  <dcterms:modified xsi:type="dcterms:W3CDTF">2024-08-21T12:06:00Z</dcterms:modified>
</cp:coreProperties>
</file>